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15" w:rsidRDefault="00CA3415"/>
    <w:p w:rsidR="00D66083" w:rsidRDefault="00D66083">
      <w:r>
        <w:t xml:space="preserve">                             </w:t>
      </w:r>
      <w:r>
        <w:rPr>
          <w:noProof/>
          <w:lang w:eastAsia="es-UY"/>
        </w:rPr>
        <w:drawing>
          <wp:inline distT="0" distB="0" distL="0" distR="0" wp14:anchorId="024B5496" wp14:editId="1EF8A04A">
            <wp:extent cx="3221665" cy="2607816"/>
            <wp:effectExtent l="0" t="0" r="0" b="2540"/>
            <wp:docPr id="3" name="Imagen 2" descr="Logo 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1742" cy="2607879"/>
                    </a:xfrm>
                    <a:prstGeom prst="rect">
                      <a:avLst/>
                    </a:prstGeom>
                    <a:noFill/>
                    <a:ln>
                      <a:noFill/>
                    </a:ln>
                  </pic:spPr>
                </pic:pic>
              </a:graphicData>
            </a:graphic>
          </wp:inline>
        </w:drawing>
      </w:r>
    </w:p>
    <w:p w:rsidR="00D66083" w:rsidRDefault="00D66083"/>
    <w:p w:rsidR="00D66083" w:rsidRDefault="00D66083"/>
    <w:p w:rsidR="00D66083" w:rsidRDefault="00D66083" w:rsidP="00D66083">
      <w:pPr>
        <w:tabs>
          <w:tab w:val="left" w:pos="3615"/>
        </w:tabs>
        <w:rPr>
          <w:sz w:val="28"/>
          <w:lang w:val="es-ES_tradnl"/>
        </w:rPr>
      </w:pPr>
      <w:r>
        <w:rPr>
          <w:sz w:val="28"/>
          <w:lang w:val="es-ES_tradnl"/>
        </w:rPr>
        <w:t>Estado de Situación Patrimonial, Estado de Resultados, Cuadro de Bienes de Uso, Notas a los Estados Contables al 31 de agosto de 2014 e Informe de Compilación.</w:t>
      </w: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rsidP="00D66083">
      <w:pPr>
        <w:tabs>
          <w:tab w:val="left" w:pos="3615"/>
        </w:tabs>
        <w:rPr>
          <w:sz w:val="28"/>
          <w:lang w:val="es-ES_tradnl"/>
        </w:rPr>
      </w:pPr>
      <w:r w:rsidRPr="00686B38">
        <w:rPr>
          <w:sz w:val="28"/>
          <w:lang w:val="es-ES_tradnl"/>
        </w:rPr>
        <w:t>CONTENIDO</w:t>
      </w:r>
    </w:p>
    <w:p w:rsidR="00D66083" w:rsidRPr="00686B38" w:rsidRDefault="00D66083" w:rsidP="00D66083">
      <w:pPr>
        <w:tabs>
          <w:tab w:val="left" w:pos="3615"/>
        </w:tabs>
        <w:rPr>
          <w:sz w:val="28"/>
          <w:lang w:val="es-ES_tradnl"/>
        </w:rPr>
      </w:pPr>
    </w:p>
    <w:p w:rsidR="00D66083" w:rsidRDefault="00D66083" w:rsidP="00D66083">
      <w:pPr>
        <w:tabs>
          <w:tab w:val="left" w:pos="3615"/>
        </w:tabs>
        <w:rPr>
          <w:sz w:val="28"/>
          <w:lang w:val="es-ES_tradnl"/>
        </w:rPr>
      </w:pPr>
      <w:r w:rsidRPr="00686B38">
        <w:rPr>
          <w:sz w:val="28"/>
          <w:lang w:val="es-ES_tradnl"/>
        </w:rPr>
        <w:t>In</w:t>
      </w:r>
      <w:r>
        <w:rPr>
          <w:sz w:val="28"/>
          <w:lang w:val="es-ES_tradnl"/>
        </w:rPr>
        <w:t>forme de Compilación</w:t>
      </w:r>
    </w:p>
    <w:p w:rsidR="00D66083" w:rsidRDefault="00D66083" w:rsidP="00D66083">
      <w:pPr>
        <w:tabs>
          <w:tab w:val="left" w:pos="3615"/>
        </w:tabs>
        <w:rPr>
          <w:sz w:val="28"/>
          <w:lang w:val="es-ES_tradnl"/>
        </w:rPr>
      </w:pPr>
      <w:r>
        <w:rPr>
          <w:sz w:val="28"/>
          <w:lang w:val="es-ES_tradnl"/>
        </w:rPr>
        <w:t>Estado de Situación Patrimonial</w:t>
      </w:r>
    </w:p>
    <w:p w:rsidR="00D66083" w:rsidRDefault="00D66083" w:rsidP="00D66083">
      <w:pPr>
        <w:tabs>
          <w:tab w:val="left" w:pos="3615"/>
        </w:tabs>
        <w:rPr>
          <w:sz w:val="28"/>
          <w:lang w:val="es-ES_tradnl"/>
        </w:rPr>
      </w:pPr>
      <w:r>
        <w:rPr>
          <w:sz w:val="28"/>
          <w:lang w:val="es-ES_tradnl"/>
        </w:rPr>
        <w:t>Estado de Resultados</w:t>
      </w:r>
    </w:p>
    <w:p w:rsidR="00D66083" w:rsidRDefault="00D66083" w:rsidP="00D66083">
      <w:pPr>
        <w:tabs>
          <w:tab w:val="left" w:pos="3615"/>
        </w:tabs>
        <w:rPr>
          <w:sz w:val="28"/>
          <w:lang w:val="es-ES_tradnl"/>
        </w:rPr>
      </w:pPr>
      <w:r>
        <w:rPr>
          <w:sz w:val="28"/>
          <w:lang w:val="es-ES_tradnl"/>
        </w:rPr>
        <w:t>Cuadro de Bienes de Uso y Amortizaciones</w:t>
      </w:r>
    </w:p>
    <w:p w:rsidR="00D66083" w:rsidRDefault="00D66083" w:rsidP="00D66083">
      <w:pPr>
        <w:tabs>
          <w:tab w:val="left" w:pos="3615"/>
        </w:tabs>
        <w:rPr>
          <w:sz w:val="28"/>
          <w:lang w:val="es-ES_tradnl"/>
        </w:rPr>
      </w:pPr>
      <w:r>
        <w:rPr>
          <w:sz w:val="28"/>
          <w:lang w:val="es-ES_tradnl"/>
        </w:rPr>
        <w:t>Notas explicativas</w:t>
      </w:r>
    </w:p>
    <w:p w:rsidR="00D66083" w:rsidRDefault="00D66083" w:rsidP="00D66083">
      <w:pPr>
        <w:tabs>
          <w:tab w:val="left" w:pos="3615"/>
        </w:tabs>
        <w:rPr>
          <w:sz w:val="28"/>
          <w:lang w:val="es-ES_tradnl"/>
        </w:rPr>
      </w:pPr>
    </w:p>
    <w:p w:rsidR="00D66083" w:rsidRDefault="00D66083" w:rsidP="00D66083">
      <w:pPr>
        <w:rPr>
          <w:sz w:val="28"/>
          <w:lang w:val="es-ES_tradnl"/>
        </w:rPr>
      </w:pPr>
      <w:r>
        <w:rPr>
          <w:sz w:val="28"/>
          <w:lang w:val="es-ES_tradnl"/>
        </w:rPr>
        <w:br w:type="page"/>
      </w:r>
    </w:p>
    <w:p w:rsidR="00D66083" w:rsidRDefault="00D66083">
      <w:pPr>
        <w:rPr>
          <w:lang w:val="es-ES_tradnl"/>
        </w:rPr>
      </w:pPr>
    </w:p>
    <w:p w:rsidR="00D66083" w:rsidRDefault="00D66083">
      <w:pPr>
        <w:rPr>
          <w:lang w:val="es-ES_tradnl"/>
        </w:rPr>
      </w:pPr>
    </w:p>
    <w:p w:rsidR="00D66083" w:rsidRPr="00EF204A" w:rsidRDefault="00D66083" w:rsidP="00D66083">
      <w:pPr>
        <w:tabs>
          <w:tab w:val="left" w:pos="3615"/>
        </w:tabs>
        <w:jc w:val="right"/>
        <w:rPr>
          <w:sz w:val="24"/>
          <w:szCs w:val="24"/>
          <w:lang w:val="es-ES_tradnl"/>
        </w:rPr>
      </w:pPr>
      <w:r w:rsidRPr="00EF204A">
        <w:rPr>
          <w:sz w:val="24"/>
          <w:szCs w:val="24"/>
          <w:lang w:val="es-ES_tradnl"/>
        </w:rPr>
        <w:t>M</w:t>
      </w:r>
      <w:r>
        <w:rPr>
          <w:sz w:val="24"/>
          <w:szCs w:val="24"/>
          <w:lang w:val="es-ES_tradnl"/>
        </w:rPr>
        <w:t>ontevideo, 20 de octubre de 2014</w:t>
      </w:r>
      <w:r w:rsidRPr="00EF204A">
        <w:rPr>
          <w:sz w:val="24"/>
          <w:szCs w:val="24"/>
          <w:lang w:val="es-ES_tradnl"/>
        </w:rPr>
        <w:t>.</w:t>
      </w:r>
    </w:p>
    <w:p w:rsidR="00D66083" w:rsidRDefault="00D66083" w:rsidP="00D66083">
      <w:pPr>
        <w:tabs>
          <w:tab w:val="left" w:pos="3615"/>
        </w:tabs>
        <w:jc w:val="right"/>
        <w:rPr>
          <w:sz w:val="28"/>
          <w:lang w:val="es-ES_tradnl"/>
        </w:rPr>
      </w:pPr>
    </w:p>
    <w:p w:rsidR="00D66083" w:rsidRPr="00B312A9" w:rsidRDefault="00D66083" w:rsidP="00D66083">
      <w:pPr>
        <w:tabs>
          <w:tab w:val="left" w:pos="3615"/>
        </w:tabs>
        <w:jc w:val="both"/>
        <w:rPr>
          <w:sz w:val="24"/>
          <w:szCs w:val="24"/>
          <w:lang w:val="es-ES_tradnl"/>
        </w:rPr>
      </w:pPr>
      <w:r w:rsidRPr="00B312A9">
        <w:rPr>
          <w:sz w:val="24"/>
          <w:szCs w:val="24"/>
          <w:lang w:val="es-ES_tradnl"/>
        </w:rPr>
        <w:t>INFORME DE COMPILACIÓN</w:t>
      </w:r>
    </w:p>
    <w:p w:rsidR="00D66083" w:rsidRPr="00B312A9" w:rsidRDefault="00D66083" w:rsidP="00D66083">
      <w:pPr>
        <w:tabs>
          <w:tab w:val="left" w:pos="3615"/>
        </w:tabs>
        <w:jc w:val="both"/>
        <w:rPr>
          <w:sz w:val="24"/>
          <w:szCs w:val="24"/>
          <w:lang w:val="es-ES_tradnl"/>
        </w:rPr>
      </w:pPr>
      <w:r w:rsidRPr="00B312A9">
        <w:rPr>
          <w:sz w:val="24"/>
          <w:szCs w:val="24"/>
          <w:lang w:val="es-ES_tradnl"/>
        </w:rPr>
        <w:t>Señores Directores del Movimiento Scout del Uruguay</w:t>
      </w:r>
    </w:p>
    <w:p w:rsidR="00D66083" w:rsidRPr="00B312A9" w:rsidRDefault="00D66083" w:rsidP="00D66083">
      <w:pPr>
        <w:tabs>
          <w:tab w:val="left" w:pos="3615"/>
        </w:tabs>
        <w:jc w:val="both"/>
        <w:rPr>
          <w:sz w:val="24"/>
          <w:szCs w:val="24"/>
          <w:lang w:val="es-ES_tradnl"/>
        </w:rPr>
      </w:pPr>
    </w:p>
    <w:p w:rsidR="00D66083" w:rsidRPr="00B312A9" w:rsidRDefault="00D66083" w:rsidP="00AA2F3F">
      <w:pPr>
        <w:tabs>
          <w:tab w:val="left" w:pos="3615"/>
        </w:tabs>
        <w:rPr>
          <w:sz w:val="24"/>
          <w:szCs w:val="24"/>
          <w:lang w:val="es-ES_tradnl"/>
        </w:rPr>
      </w:pPr>
      <w:r w:rsidRPr="00B312A9">
        <w:rPr>
          <w:sz w:val="24"/>
          <w:szCs w:val="24"/>
          <w:lang w:val="es-ES_tradnl"/>
        </w:rPr>
        <w:t xml:space="preserve">Sobre la base de la información proporcionada por la Administración y, de acuerdo con lo establecido por el Pronunciamiento Nro. 7 emitido por el Colegio de Contadores Economistas y Administradores del Uruguay, he compilado el Estado de Situación Patrimonial del Movimiento Scout del </w:t>
      </w:r>
      <w:r>
        <w:rPr>
          <w:sz w:val="24"/>
          <w:szCs w:val="24"/>
          <w:lang w:val="es-ES_tradnl"/>
        </w:rPr>
        <w:t>Uruguay  al 31 de agosto de 2014</w:t>
      </w:r>
      <w:r w:rsidRPr="00B312A9">
        <w:rPr>
          <w:sz w:val="24"/>
          <w:szCs w:val="24"/>
          <w:lang w:val="es-ES_tradnl"/>
        </w:rPr>
        <w:t>, el correspo</w:t>
      </w:r>
      <w:r>
        <w:rPr>
          <w:sz w:val="24"/>
          <w:szCs w:val="24"/>
          <w:lang w:val="es-ES_tradnl"/>
        </w:rPr>
        <w:t xml:space="preserve">ndiente </w:t>
      </w:r>
      <w:r w:rsidRPr="00B312A9">
        <w:rPr>
          <w:sz w:val="24"/>
          <w:szCs w:val="24"/>
          <w:lang w:val="es-ES_tradnl"/>
        </w:rPr>
        <w:t xml:space="preserve">Estado de </w:t>
      </w:r>
      <w:r w:rsidRPr="00B312A9">
        <w:rPr>
          <w:sz w:val="24"/>
          <w:szCs w:val="24"/>
          <w:lang w:val="es-ES_tradnl"/>
        </w:rPr>
        <w:br/>
        <w:t>Resultados por el ejercicio finalizado a esa fecha, conjuntamente con sus Notas explicativas y Anexo de Bienes de Uso.</w:t>
      </w:r>
    </w:p>
    <w:p w:rsidR="00D66083" w:rsidRPr="00B312A9" w:rsidRDefault="00D66083" w:rsidP="00AA2F3F">
      <w:pPr>
        <w:tabs>
          <w:tab w:val="left" w:pos="3615"/>
        </w:tabs>
        <w:rPr>
          <w:sz w:val="24"/>
          <w:szCs w:val="24"/>
          <w:lang w:val="es-ES_tradnl"/>
        </w:rPr>
      </w:pPr>
      <w:r w:rsidRPr="00B312A9">
        <w:rPr>
          <w:sz w:val="24"/>
          <w:szCs w:val="24"/>
          <w:lang w:val="es-ES_tradnl"/>
        </w:rPr>
        <w:t>La administración del Movimiento Scout del Uruguay es responsable por la presentación de estos Estados Contables, de acuerdo con Normas Contables Adecuadas en Uruguay.</w:t>
      </w:r>
    </w:p>
    <w:p w:rsidR="00D66083" w:rsidRPr="00B312A9" w:rsidRDefault="00D66083" w:rsidP="00AA2F3F">
      <w:pPr>
        <w:tabs>
          <w:tab w:val="left" w:pos="3615"/>
        </w:tabs>
        <w:rPr>
          <w:sz w:val="24"/>
          <w:szCs w:val="24"/>
          <w:lang w:val="es-ES_tradnl"/>
        </w:rPr>
      </w:pPr>
      <w:r w:rsidRPr="00B312A9">
        <w:rPr>
          <w:sz w:val="24"/>
          <w:szCs w:val="24"/>
          <w:lang w:val="es-ES_tradnl"/>
        </w:rPr>
        <w:t>No he auditado ni revisado estos Estados Contables y consecuentemente no expreso ninguna opinión o conclusión sobre los mismos.</w:t>
      </w:r>
    </w:p>
    <w:p w:rsidR="00D66083" w:rsidRPr="00B312A9" w:rsidRDefault="00D66083" w:rsidP="00AA2F3F">
      <w:pPr>
        <w:tabs>
          <w:tab w:val="left" w:pos="3615"/>
        </w:tabs>
        <w:rPr>
          <w:sz w:val="24"/>
          <w:szCs w:val="24"/>
          <w:lang w:val="es-ES_tradnl"/>
        </w:rPr>
      </w:pPr>
      <w:r w:rsidRPr="00B312A9">
        <w:rPr>
          <w:sz w:val="24"/>
          <w:szCs w:val="24"/>
          <w:lang w:val="es-ES_tradnl"/>
        </w:rPr>
        <w:t>Dejo constancia que mi relación con el Movimiento Scout del Uruguay es de Contador Independiente.</w:t>
      </w:r>
    </w:p>
    <w:p w:rsidR="00D66083" w:rsidRPr="00B312A9" w:rsidRDefault="00D66083" w:rsidP="00D66083">
      <w:pPr>
        <w:tabs>
          <w:tab w:val="left" w:pos="3615"/>
        </w:tabs>
        <w:rPr>
          <w:sz w:val="24"/>
          <w:szCs w:val="24"/>
          <w:lang w:val="es-ES_tradnl"/>
        </w:rPr>
      </w:pPr>
    </w:p>
    <w:p w:rsidR="00D66083" w:rsidRPr="00B312A9" w:rsidRDefault="00D66083" w:rsidP="00D66083">
      <w:pPr>
        <w:tabs>
          <w:tab w:val="left" w:pos="3615"/>
        </w:tabs>
        <w:jc w:val="right"/>
        <w:rPr>
          <w:sz w:val="24"/>
          <w:szCs w:val="24"/>
          <w:lang w:val="es-ES_tradnl"/>
        </w:rPr>
      </w:pPr>
      <w:r>
        <w:rPr>
          <w:sz w:val="24"/>
          <w:szCs w:val="24"/>
          <w:lang w:val="es-ES_tradnl"/>
        </w:rPr>
        <w:tab/>
      </w:r>
      <w:r>
        <w:rPr>
          <w:sz w:val="24"/>
          <w:szCs w:val="24"/>
          <w:lang w:val="es-ES_tradnl"/>
        </w:rPr>
        <w:tab/>
      </w:r>
      <w:r>
        <w:rPr>
          <w:sz w:val="24"/>
          <w:szCs w:val="24"/>
          <w:lang w:val="es-ES_tradnl"/>
        </w:rPr>
        <w:tab/>
      </w:r>
      <w:proofErr w:type="spellStart"/>
      <w:r w:rsidRPr="00B312A9">
        <w:rPr>
          <w:sz w:val="24"/>
          <w:szCs w:val="24"/>
          <w:lang w:val="es-ES_tradnl"/>
        </w:rPr>
        <w:t>Cra</w:t>
      </w:r>
      <w:proofErr w:type="spellEnd"/>
      <w:r w:rsidRPr="00B312A9">
        <w:rPr>
          <w:sz w:val="24"/>
          <w:szCs w:val="24"/>
          <w:lang w:val="es-ES_tradnl"/>
        </w:rPr>
        <w:t>. María Belén Ibáñez</w:t>
      </w:r>
    </w:p>
    <w:p w:rsidR="00D66083" w:rsidRPr="00B312A9" w:rsidRDefault="00D66083" w:rsidP="00D66083">
      <w:pPr>
        <w:tabs>
          <w:tab w:val="left" w:pos="3615"/>
        </w:tabs>
        <w:jc w:val="right"/>
        <w:rPr>
          <w:sz w:val="24"/>
          <w:szCs w:val="24"/>
          <w:lang w:val="es-ES_tradnl"/>
        </w:rPr>
      </w:pPr>
      <w:r w:rsidRPr="00B312A9">
        <w:rPr>
          <w:sz w:val="24"/>
          <w:szCs w:val="24"/>
          <w:lang w:val="es-ES_tradnl"/>
        </w:rPr>
        <w:t>C.P. 126.552</w:t>
      </w:r>
    </w:p>
    <w:p w:rsidR="00D66083" w:rsidRDefault="00D66083">
      <w:pPr>
        <w:rPr>
          <w:lang w:val="es-ES_tradnl"/>
        </w:rPr>
      </w:pPr>
    </w:p>
    <w:p w:rsidR="00D66083" w:rsidRDefault="00D66083">
      <w:pPr>
        <w:rPr>
          <w:lang w:val="es-ES_tradnl"/>
        </w:rPr>
      </w:pPr>
    </w:p>
    <w:p w:rsidR="00D66083" w:rsidRDefault="00D66083">
      <w:pPr>
        <w:rPr>
          <w:lang w:val="es-ES_tradnl"/>
        </w:rPr>
      </w:pPr>
    </w:p>
    <w:p w:rsidR="00D66083" w:rsidRDefault="00D66083">
      <w:pPr>
        <w:rPr>
          <w:lang w:val="es-ES_tradnl"/>
        </w:rPr>
      </w:pPr>
    </w:p>
    <w:p w:rsidR="005E1DB3" w:rsidRDefault="005E1DB3">
      <w:pPr>
        <w:rPr>
          <w:lang w:val="es-ES_tradnl"/>
        </w:rPr>
      </w:pPr>
    </w:p>
    <w:p w:rsidR="005E1DB3" w:rsidRDefault="00E869EB">
      <w:pPr>
        <w:rPr>
          <w:lang w:val="es-ES_tradnl"/>
        </w:rPr>
      </w:pPr>
      <w:r w:rsidRPr="00E869EB">
        <w:lastRenderedPageBreak/>
        <w:drawing>
          <wp:inline distT="0" distB="0" distL="0" distR="0">
            <wp:extent cx="5039995" cy="81978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8197850"/>
                    </a:xfrm>
                    <a:prstGeom prst="rect">
                      <a:avLst/>
                    </a:prstGeom>
                    <a:noFill/>
                    <a:ln>
                      <a:noFill/>
                    </a:ln>
                  </pic:spPr>
                </pic:pic>
              </a:graphicData>
            </a:graphic>
          </wp:inline>
        </w:drawing>
      </w:r>
    </w:p>
    <w:p w:rsidR="005E1DB3" w:rsidRDefault="005E1DB3">
      <w:pPr>
        <w:rPr>
          <w:lang w:val="es-ES_tradnl"/>
        </w:rPr>
      </w:pPr>
    </w:p>
    <w:p w:rsidR="005E1DB3" w:rsidRDefault="005E1DB3">
      <w:pPr>
        <w:rPr>
          <w:lang w:val="es-ES_tradnl"/>
        </w:rPr>
      </w:pPr>
    </w:p>
    <w:p w:rsidR="005E1DB3" w:rsidRDefault="007B31D0">
      <w:pPr>
        <w:rPr>
          <w:lang w:val="es-ES_tradnl"/>
        </w:rPr>
      </w:pPr>
      <w:r w:rsidRPr="007B31D0">
        <w:lastRenderedPageBreak/>
        <w:drawing>
          <wp:inline distT="0" distB="0" distL="0" distR="0">
            <wp:extent cx="5039995" cy="7633970"/>
            <wp:effectExtent l="0" t="0" r="8255"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7633970"/>
                    </a:xfrm>
                    <a:prstGeom prst="rect">
                      <a:avLst/>
                    </a:prstGeom>
                    <a:noFill/>
                    <a:ln>
                      <a:noFill/>
                    </a:ln>
                  </pic:spPr>
                </pic:pic>
              </a:graphicData>
            </a:graphic>
          </wp:inline>
        </w:drawing>
      </w:r>
    </w:p>
    <w:p w:rsidR="00EB7906" w:rsidRDefault="00EB7906">
      <w:pPr>
        <w:rPr>
          <w:lang w:val="es-ES_tradnl"/>
        </w:rPr>
      </w:pPr>
    </w:p>
    <w:p w:rsidR="00EB7906" w:rsidRDefault="00EB7906">
      <w:pPr>
        <w:rPr>
          <w:lang w:val="es-ES_tradnl"/>
        </w:rPr>
      </w:pPr>
    </w:p>
    <w:p w:rsidR="00EB7906" w:rsidRDefault="00845BDA">
      <w:pPr>
        <w:rPr>
          <w:lang w:val="es-ES_tradnl"/>
        </w:rPr>
      </w:pPr>
      <w:r w:rsidRPr="00845BDA">
        <w:lastRenderedPageBreak/>
        <w:drawing>
          <wp:inline distT="0" distB="0" distL="0" distR="0" wp14:anchorId="53985EFA" wp14:editId="17806DE5">
            <wp:extent cx="6964326" cy="5337544"/>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4914" cy="5337995"/>
                    </a:xfrm>
                    <a:prstGeom prst="rect">
                      <a:avLst/>
                    </a:prstGeom>
                    <a:noFill/>
                    <a:ln>
                      <a:noFill/>
                    </a:ln>
                  </pic:spPr>
                </pic:pic>
              </a:graphicData>
            </a:graphic>
          </wp:inline>
        </w:drawing>
      </w:r>
    </w:p>
    <w:p w:rsidR="00EB7906" w:rsidRDefault="00EB7906">
      <w:pPr>
        <w:rPr>
          <w:lang w:val="es-ES_tradnl"/>
        </w:rPr>
      </w:pPr>
    </w:p>
    <w:p w:rsidR="00EB7906" w:rsidRDefault="00EB7906">
      <w:pPr>
        <w:rPr>
          <w:lang w:val="es-ES_tradnl"/>
        </w:rPr>
      </w:pPr>
    </w:p>
    <w:p w:rsidR="00EB7906" w:rsidRDefault="00EB7906">
      <w:pPr>
        <w:rPr>
          <w:lang w:val="es-ES_tradnl"/>
        </w:rPr>
      </w:pPr>
    </w:p>
    <w:p w:rsidR="00EB7906" w:rsidRDefault="00EB7906">
      <w:pPr>
        <w:rPr>
          <w:lang w:val="es-ES_tradnl"/>
        </w:rPr>
      </w:pPr>
    </w:p>
    <w:p w:rsidR="00EB7906" w:rsidRDefault="00EB7906">
      <w:pPr>
        <w:rPr>
          <w:lang w:val="es-ES_tradnl"/>
        </w:rPr>
      </w:pPr>
    </w:p>
    <w:p w:rsidR="00EB7906" w:rsidRDefault="00EB7906">
      <w:pPr>
        <w:rPr>
          <w:lang w:val="es-ES_tradnl"/>
        </w:rPr>
      </w:pPr>
    </w:p>
    <w:p w:rsidR="00EB7906" w:rsidRDefault="00EB7906">
      <w:pPr>
        <w:rPr>
          <w:lang w:val="es-ES_tradnl"/>
        </w:rPr>
      </w:pPr>
    </w:p>
    <w:p w:rsidR="00EB7906" w:rsidRDefault="00EB7906">
      <w:pPr>
        <w:rPr>
          <w:lang w:val="es-ES_tradnl"/>
        </w:rPr>
      </w:pPr>
    </w:p>
    <w:p w:rsidR="00EB7906" w:rsidRDefault="00EB7906">
      <w:pPr>
        <w:rPr>
          <w:lang w:val="es-ES_tradnl"/>
        </w:rPr>
      </w:pPr>
    </w:p>
    <w:p w:rsidR="00EB7906" w:rsidRDefault="00EB7906">
      <w:pPr>
        <w:rPr>
          <w:lang w:val="es-ES_tradnl"/>
        </w:rPr>
      </w:pPr>
    </w:p>
    <w:p w:rsidR="00EA4C6C" w:rsidRPr="00845BDA" w:rsidRDefault="00845BDA">
      <w:pPr>
        <w:rPr>
          <w:lang w:val="es-ES_tradnl"/>
        </w:rPr>
      </w:pPr>
      <w:r w:rsidRPr="00845BDA">
        <w:lastRenderedPageBreak/>
        <w:drawing>
          <wp:inline distT="0" distB="0" distL="0" distR="0" wp14:anchorId="69AB54FE" wp14:editId="6CE8826A">
            <wp:extent cx="6952891" cy="86868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724" cy="8687841"/>
                    </a:xfrm>
                    <a:prstGeom prst="rect">
                      <a:avLst/>
                    </a:prstGeom>
                    <a:noFill/>
                    <a:ln>
                      <a:noFill/>
                    </a:ln>
                  </pic:spPr>
                </pic:pic>
              </a:graphicData>
            </a:graphic>
          </wp:inline>
        </w:drawing>
      </w:r>
      <w:bookmarkStart w:id="0" w:name="_GoBack"/>
      <w:bookmarkEnd w:id="0"/>
    </w:p>
    <w:p w:rsidR="00EA4C6C" w:rsidRDefault="008F0291">
      <w:pPr>
        <w:rPr>
          <w:noProof/>
          <w:lang w:eastAsia="es-UY"/>
        </w:rPr>
      </w:pPr>
      <w:r w:rsidRPr="008F0291">
        <w:rPr>
          <w:noProof/>
          <w:lang w:eastAsia="es-UY"/>
        </w:rPr>
        <w:lastRenderedPageBreak/>
        <w:drawing>
          <wp:inline distT="0" distB="0" distL="0" distR="0" wp14:anchorId="2CD08B44" wp14:editId="577B880B">
            <wp:extent cx="6645910" cy="8049975"/>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8049975"/>
                    </a:xfrm>
                    <a:prstGeom prst="rect">
                      <a:avLst/>
                    </a:prstGeom>
                    <a:noFill/>
                    <a:ln>
                      <a:noFill/>
                    </a:ln>
                  </pic:spPr>
                </pic:pic>
              </a:graphicData>
            </a:graphic>
          </wp:inline>
        </w:drawing>
      </w:r>
    </w:p>
    <w:p w:rsidR="00EA4C6C" w:rsidRDefault="00EA4C6C">
      <w:pPr>
        <w:rPr>
          <w:noProof/>
          <w:lang w:eastAsia="es-UY"/>
        </w:rPr>
      </w:pPr>
    </w:p>
    <w:p w:rsidR="00EA4C6C" w:rsidRDefault="00EA4C6C">
      <w:pPr>
        <w:rPr>
          <w:noProof/>
          <w:lang w:eastAsia="es-UY"/>
        </w:rPr>
      </w:pPr>
    </w:p>
    <w:p w:rsidR="00EA4C6C" w:rsidRDefault="00EA4C6C">
      <w:pPr>
        <w:rPr>
          <w:lang w:val="es-ES_tradnl"/>
        </w:rPr>
      </w:pPr>
    </w:p>
    <w:p w:rsidR="00EA4C6C" w:rsidRDefault="00EA4C6C" w:rsidP="00EA4C6C">
      <w:pPr>
        <w:tabs>
          <w:tab w:val="left" w:pos="1644"/>
        </w:tabs>
        <w:jc w:val="both"/>
        <w:rPr>
          <w:sz w:val="24"/>
          <w:szCs w:val="24"/>
          <w:u w:val="single"/>
          <w:lang w:val="es-ES_tradnl"/>
        </w:rPr>
      </w:pPr>
      <w:r w:rsidRPr="00FB3EBE">
        <w:rPr>
          <w:sz w:val="24"/>
          <w:szCs w:val="24"/>
          <w:u w:val="single"/>
          <w:lang w:val="es-ES_tradnl"/>
        </w:rPr>
        <w:t>NOTAS A LOS</w:t>
      </w:r>
      <w:r>
        <w:rPr>
          <w:sz w:val="24"/>
          <w:szCs w:val="24"/>
          <w:u w:val="single"/>
          <w:lang w:val="es-ES_tradnl"/>
        </w:rPr>
        <w:t xml:space="preserve"> ESTADOS CONTABLES AL 31/08/2014</w:t>
      </w:r>
    </w:p>
    <w:p w:rsidR="00EA4C6C" w:rsidRPr="00FB3EBE" w:rsidRDefault="00EA4C6C" w:rsidP="00EA4C6C">
      <w:pPr>
        <w:tabs>
          <w:tab w:val="left" w:pos="1644"/>
        </w:tabs>
        <w:jc w:val="both"/>
        <w:rPr>
          <w:sz w:val="24"/>
          <w:szCs w:val="24"/>
          <w:u w:val="single"/>
          <w:lang w:val="es-ES_tradnl"/>
        </w:rPr>
      </w:pPr>
    </w:p>
    <w:p w:rsidR="00EA4C6C" w:rsidRPr="00FB3EBE" w:rsidRDefault="00EA4C6C" w:rsidP="00EA4C6C">
      <w:pPr>
        <w:tabs>
          <w:tab w:val="left" w:pos="1644"/>
        </w:tabs>
        <w:jc w:val="both"/>
        <w:rPr>
          <w:sz w:val="24"/>
          <w:szCs w:val="24"/>
          <w:lang w:val="es-ES_tradnl"/>
        </w:rPr>
      </w:pPr>
      <w:r w:rsidRPr="00FB3EBE">
        <w:rPr>
          <w:sz w:val="24"/>
          <w:szCs w:val="24"/>
          <w:lang w:val="es-ES_tradnl"/>
        </w:rPr>
        <w:t>NOTA 1 – INFORMACIÓN BÁSICA SOBRE EL MSU</w:t>
      </w:r>
    </w:p>
    <w:p w:rsidR="00EA4C6C" w:rsidRPr="00FB3EBE" w:rsidRDefault="00EA4C6C" w:rsidP="00EA4C6C">
      <w:pPr>
        <w:tabs>
          <w:tab w:val="left" w:pos="1644"/>
        </w:tabs>
        <w:jc w:val="both"/>
        <w:rPr>
          <w:sz w:val="24"/>
          <w:szCs w:val="24"/>
          <w:lang w:val="es-ES_tradnl"/>
        </w:rPr>
      </w:pPr>
      <w:r w:rsidRPr="00FB3EBE">
        <w:rPr>
          <w:sz w:val="24"/>
          <w:szCs w:val="24"/>
          <w:lang w:val="es-ES_tradnl"/>
        </w:rPr>
        <w:t>El Movimiento Scout del Uruguay es una asociación civil sin fines de lucro regida por su propio estatuto y por leyes y reglamentos aplicables.</w:t>
      </w:r>
    </w:p>
    <w:p w:rsidR="00EA4C6C" w:rsidRPr="00FB3EBE" w:rsidRDefault="00EA4C6C" w:rsidP="00EA4C6C">
      <w:pPr>
        <w:tabs>
          <w:tab w:val="left" w:pos="1644"/>
        </w:tabs>
        <w:jc w:val="both"/>
        <w:rPr>
          <w:sz w:val="24"/>
          <w:szCs w:val="24"/>
          <w:lang w:val="es-ES_tradnl"/>
        </w:rPr>
      </w:pPr>
      <w:r w:rsidRPr="00FB3EBE">
        <w:rPr>
          <w:sz w:val="24"/>
          <w:szCs w:val="24"/>
          <w:lang w:val="es-ES_tradnl"/>
        </w:rPr>
        <w:t>Fue fundada en el año 1994  con la finalidad de promocionar y difundir la cultura Scout, así como la educación no formal de niños y jóvenes promoviendo el desarrollo armónico e integral del ser humano para el pleno goce de sus potencialidades en relación con su medio,  sin distinción de clase social, credo y raza en todo de acuerdo con los principios de la Organización Mundial del Movimiento Scout.</w:t>
      </w:r>
    </w:p>
    <w:p w:rsidR="00EA4C6C" w:rsidRPr="00FB3EBE" w:rsidRDefault="00EA4C6C" w:rsidP="00EA4C6C">
      <w:pPr>
        <w:tabs>
          <w:tab w:val="left" w:pos="1644"/>
        </w:tabs>
        <w:jc w:val="both"/>
        <w:rPr>
          <w:sz w:val="24"/>
          <w:szCs w:val="24"/>
          <w:lang w:val="es-ES_tradnl"/>
        </w:rPr>
      </w:pPr>
      <w:r w:rsidRPr="00FB3EBE">
        <w:rPr>
          <w:sz w:val="24"/>
          <w:szCs w:val="24"/>
          <w:lang w:val="es-ES_tradnl"/>
        </w:rPr>
        <w:t xml:space="preserve">El patrimonio de la asociación se constituye por los aportes ordinarios de los asociados, las contribuciones de origen público o privado, las donaciones y legados a favor de la misma y todo aporte extraordinario a cargo de los asociados que la Asamblea  Nacional establezca de acuerdo con la naturaleza de la Institución. </w:t>
      </w:r>
    </w:p>
    <w:p w:rsidR="00EA4C6C" w:rsidRPr="00FB3EBE" w:rsidRDefault="00EA4C6C" w:rsidP="00EA4C6C">
      <w:pPr>
        <w:tabs>
          <w:tab w:val="left" w:pos="1644"/>
        </w:tabs>
        <w:jc w:val="both"/>
        <w:rPr>
          <w:sz w:val="24"/>
          <w:szCs w:val="24"/>
          <w:lang w:val="es-ES_tradnl"/>
        </w:rPr>
      </w:pPr>
    </w:p>
    <w:p w:rsidR="00EA4C6C" w:rsidRPr="00FB3EBE" w:rsidRDefault="00EA4C6C" w:rsidP="00EA4C6C">
      <w:pPr>
        <w:tabs>
          <w:tab w:val="left" w:pos="1644"/>
        </w:tabs>
        <w:jc w:val="both"/>
        <w:rPr>
          <w:sz w:val="24"/>
          <w:szCs w:val="24"/>
          <w:lang w:val="es-ES_tradnl"/>
        </w:rPr>
      </w:pPr>
      <w:r w:rsidRPr="00FB3EBE">
        <w:rPr>
          <w:sz w:val="24"/>
          <w:szCs w:val="24"/>
          <w:lang w:val="es-ES_tradnl"/>
        </w:rPr>
        <w:t>NOTA 2 – RESUMEN DE LAS PRINCIPALES POLÍTICAS CONTABLES</w:t>
      </w:r>
    </w:p>
    <w:p w:rsidR="00EA4C6C" w:rsidRPr="00FB3EBE" w:rsidRDefault="00EA4C6C" w:rsidP="00EA4C6C">
      <w:pPr>
        <w:tabs>
          <w:tab w:val="left" w:pos="1644"/>
        </w:tabs>
        <w:jc w:val="both"/>
        <w:rPr>
          <w:sz w:val="24"/>
          <w:szCs w:val="24"/>
          <w:lang w:val="es-ES_tradnl"/>
        </w:rPr>
      </w:pPr>
      <w:r w:rsidRPr="00FB3EBE">
        <w:rPr>
          <w:sz w:val="24"/>
          <w:szCs w:val="24"/>
          <w:lang w:val="es-ES_tradnl"/>
        </w:rPr>
        <w:t>2.1 Base Contable</w:t>
      </w:r>
    </w:p>
    <w:p w:rsidR="00EA4C6C" w:rsidRPr="00FB3EBE" w:rsidRDefault="00EA4C6C" w:rsidP="00EA4C6C">
      <w:pPr>
        <w:tabs>
          <w:tab w:val="left" w:pos="1644"/>
        </w:tabs>
        <w:jc w:val="both"/>
        <w:rPr>
          <w:sz w:val="24"/>
          <w:szCs w:val="24"/>
          <w:lang w:val="es-ES_tradnl"/>
        </w:rPr>
      </w:pPr>
      <w:r w:rsidRPr="00FB3EBE">
        <w:rPr>
          <w:sz w:val="24"/>
          <w:szCs w:val="24"/>
          <w:lang w:val="es-ES_tradnl"/>
        </w:rPr>
        <w:t>Los presentes estados contables han sido preparados de acuerdo con las disposiciones establecidas en los Decretos 266/07, 224/04 y 90/05, que hacen obligatoria la aplicación de las Normas Internacionales de Contabilidad vigentes y traducidas al idioma español al momento de la emisión de los mencionados decretos, y con lo establecido en el Decreto 103/91 en lo referente a los criterios de presentación y exposición.</w:t>
      </w:r>
    </w:p>
    <w:p w:rsidR="00EA4C6C" w:rsidRPr="00FB3EBE" w:rsidRDefault="00EA4C6C" w:rsidP="00EA4C6C">
      <w:pPr>
        <w:tabs>
          <w:tab w:val="left" w:pos="1644"/>
        </w:tabs>
        <w:jc w:val="both"/>
        <w:rPr>
          <w:sz w:val="24"/>
          <w:szCs w:val="24"/>
          <w:lang w:val="es-ES_tradnl"/>
        </w:rPr>
      </w:pPr>
      <w:r w:rsidRPr="00FB3EBE">
        <w:rPr>
          <w:sz w:val="24"/>
          <w:szCs w:val="24"/>
          <w:lang w:val="es-ES_tradnl"/>
        </w:rPr>
        <w:t>2.2 Moneda funcional y moneda de presentación</w:t>
      </w:r>
    </w:p>
    <w:p w:rsidR="00EA4C6C" w:rsidRPr="00FB3EBE" w:rsidRDefault="00EA4C6C" w:rsidP="00EA4C6C">
      <w:pPr>
        <w:tabs>
          <w:tab w:val="left" w:pos="1644"/>
        </w:tabs>
        <w:jc w:val="both"/>
        <w:rPr>
          <w:sz w:val="24"/>
          <w:szCs w:val="24"/>
          <w:lang w:val="es-ES_tradnl"/>
        </w:rPr>
      </w:pPr>
      <w:r w:rsidRPr="00FB3EBE">
        <w:rPr>
          <w:sz w:val="24"/>
          <w:szCs w:val="24"/>
          <w:lang w:val="es-ES_tradnl"/>
        </w:rPr>
        <w:t>La moneda funcional y de presentación de los estados contables es el peso uruguayo.</w:t>
      </w:r>
    </w:p>
    <w:p w:rsidR="00EA4C6C" w:rsidRPr="00FB3EBE" w:rsidRDefault="00EA4C6C" w:rsidP="00EA4C6C">
      <w:pPr>
        <w:tabs>
          <w:tab w:val="left" w:pos="1644"/>
        </w:tabs>
        <w:jc w:val="both"/>
        <w:rPr>
          <w:sz w:val="24"/>
          <w:szCs w:val="24"/>
          <w:lang w:val="es-ES_tradnl"/>
        </w:rPr>
      </w:pPr>
      <w:r w:rsidRPr="00FB3EBE">
        <w:rPr>
          <w:sz w:val="24"/>
          <w:szCs w:val="24"/>
          <w:lang w:val="es-ES_tradnl"/>
        </w:rPr>
        <w:t>2.3 Activos y pasivos en moneda extranjera</w:t>
      </w:r>
    </w:p>
    <w:p w:rsidR="00EA4C6C" w:rsidRPr="00FB3EBE" w:rsidRDefault="00EA4C6C" w:rsidP="00EA4C6C">
      <w:pPr>
        <w:tabs>
          <w:tab w:val="left" w:pos="1644"/>
        </w:tabs>
        <w:jc w:val="both"/>
        <w:rPr>
          <w:sz w:val="24"/>
          <w:szCs w:val="24"/>
          <w:lang w:val="es-ES_tradnl"/>
        </w:rPr>
      </w:pPr>
      <w:r w:rsidRPr="00FB3EBE">
        <w:rPr>
          <w:sz w:val="24"/>
          <w:szCs w:val="24"/>
          <w:lang w:val="es-ES_tradnl"/>
        </w:rPr>
        <w:t>Los activos y pasivos en moneda extranjera son valuados a tipo de cambio de cier</w:t>
      </w:r>
      <w:r>
        <w:rPr>
          <w:sz w:val="24"/>
          <w:szCs w:val="24"/>
          <w:lang w:val="es-ES_tradnl"/>
        </w:rPr>
        <w:t>re del período (1US$ = 23,718</w:t>
      </w:r>
      <w:r w:rsidRPr="00FB3EBE">
        <w:rPr>
          <w:sz w:val="24"/>
          <w:szCs w:val="24"/>
          <w:lang w:val="es-ES_tradnl"/>
        </w:rPr>
        <w:t xml:space="preserve">  al</w:t>
      </w:r>
      <w:r>
        <w:rPr>
          <w:sz w:val="24"/>
          <w:szCs w:val="24"/>
          <w:lang w:val="es-ES_tradnl"/>
        </w:rPr>
        <w:t xml:space="preserve"> 31/08/2014</w:t>
      </w:r>
      <w:r w:rsidRPr="00FB3EBE">
        <w:rPr>
          <w:sz w:val="24"/>
          <w:szCs w:val="24"/>
          <w:lang w:val="es-ES_tradnl"/>
        </w:rPr>
        <w:t>)</w:t>
      </w:r>
    </w:p>
    <w:p w:rsidR="00EA4C6C" w:rsidRPr="00FB3EBE" w:rsidRDefault="00EA4C6C" w:rsidP="00EA4C6C">
      <w:pPr>
        <w:tabs>
          <w:tab w:val="left" w:pos="1644"/>
        </w:tabs>
        <w:jc w:val="both"/>
        <w:rPr>
          <w:sz w:val="24"/>
          <w:szCs w:val="24"/>
          <w:lang w:val="es-ES_tradnl"/>
        </w:rPr>
      </w:pPr>
      <w:r w:rsidRPr="00FB3EBE">
        <w:rPr>
          <w:sz w:val="24"/>
          <w:szCs w:val="24"/>
          <w:lang w:val="es-ES_tradnl"/>
        </w:rPr>
        <w:t xml:space="preserve">2.4 Créditos </w:t>
      </w:r>
    </w:p>
    <w:p w:rsidR="00EA4C6C" w:rsidRPr="00FB3EBE" w:rsidRDefault="00EA4C6C" w:rsidP="00EA4C6C">
      <w:pPr>
        <w:tabs>
          <w:tab w:val="left" w:pos="1644"/>
        </w:tabs>
        <w:jc w:val="both"/>
        <w:rPr>
          <w:sz w:val="24"/>
          <w:szCs w:val="24"/>
          <w:lang w:val="es-ES_tradnl"/>
        </w:rPr>
      </w:pPr>
      <w:r w:rsidRPr="00FB3EBE">
        <w:rPr>
          <w:sz w:val="24"/>
          <w:szCs w:val="24"/>
          <w:lang w:val="es-ES_tradnl"/>
        </w:rPr>
        <w:t>Los créditos se presentan a su costo menos cualquier pérdida por deterioro.</w:t>
      </w:r>
    </w:p>
    <w:p w:rsidR="00EA4C6C" w:rsidRPr="00FB3EBE" w:rsidRDefault="00EA4C6C" w:rsidP="00EA4C6C">
      <w:pPr>
        <w:tabs>
          <w:tab w:val="left" w:pos="1644"/>
        </w:tabs>
        <w:jc w:val="both"/>
        <w:rPr>
          <w:sz w:val="24"/>
          <w:szCs w:val="24"/>
          <w:lang w:val="es-ES_tradnl"/>
        </w:rPr>
      </w:pPr>
      <w:r w:rsidRPr="00FB3EBE">
        <w:rPr>
          <w:sz w:val="24"/>
          <w:szCs w:val="24"/>
          <w:lang w:val="es-ES_tradnl"/>
        </w:rPr>
        <w:t>2.5  Bienes de cambio</w:t>
      </w:r>
    </w:p>
    <w:p w:rsidR="00EA4C6C" w:rsidRPr="00FB3EBE" w:rsidRDefault="00EA4C6C" w:rsidP="00EA4C6C">
      <w:pPr>
        <w:tabs>
          <w:tab w:val="left" w:pos="1644"/>
        </w:tabs>
        <w:jc w:val="both"/>
        <w:rPr>
          <w:sz w:val="24"/>
          <w:szCs w:val="24"/>
          <w:lang w:val="es-ES_tradnl"/>
        </w:rPr>
      </w:pPr>
      <w:r w:rsidRPr="00FB3EBE">
        <w:rPr>
          <w:sz w:val="24"/>
          <w:szCs w:val="24"/>
          <w:lang w:val="es-ES_tradnl"/>
        </w:rPr>
        <w:lastRenderedPageBreak/>
        <w:t>Los bienes de cambio están valuados a su costo de adquisición o valor neto de realización si es menor. El valor neto de realización es el valor de venta estimado en el curso normal de actividad, menos los costos estimados de terminación y gastos de ventas. El costo de venta es calculado en base al costo histórico.</w:t>
      </w:r>
    </w:p>
    <w:p w:rsidR="00EA4C6C" w:rsidRPr="00FB3EBE" w:rsidRDefault="00EA4C6C" w:rsidP="00EA4C6C">
      <w:pPr>
        <w:tabs>
          <w:tab w:val="left" w:pos="1644"/>
        </w:tabs>
        <w:jc w:val="both"/>
        <w:rPr>
          <w:sz w:val="24"/>
          <w:szCs w:val="24"/>
          <w:lang w:val="es-ES_tradnl"/>
        </w:rPr>
      </w:pPr>
      <w:r w:rsidRPr="00FB3EBE">
        <w:rPr>
          <w:sz w:val="24"/>
          <w:szCs w:val="24"/>
          <w:lang w:val="es-ES_tradnl"/>
        </w:rPr>
        <w:t>2.6 Bienes de uso</w:t>
      </w:r>
    </w:p>
    <w:p w:rsidR="00EA4C6C" w:rsidRPr="00FB3EBE" w:rsidRDefault="00EA4C6C" w:rsidP="00EA4C6C">
      <w:pPr>
        <w:tabs>
          <w:tab w:val="left" w:pos="1644"/>
        </w:tabs>
        <w:jc w:val="both"/>
        <w:rPr>
          <w:sz w:val="24"/>
          <w:szCs w:val="24"/>
          <w:lang w:val="es-ES_tradnl"/>
        </w:rPr>
      </w:pPr>
      <w:r w:rsidRPr="00FB3EBE">
        <w:rPr>
          <w:sz w:val="24"/>
          <w:szCs w:val="24"/>
          <w:lang w:val="es-ES_tradnl"/>
        </w:rPr>
        <w:t>Los bienes de uso han sido valuados a su costo de adquisición, siguiendo el modelo del costo establecido en la NIC 16 revisada, tomando como base los saldos iniciales al 31/08/2008.</w:t>
      </w:r>
    </w:p>
    <w:p w:rsidR="00EA4C6C" w:rsidRPr="00FB3EBE" w:rsidRDefault="00EA4C6C" w:rsidP="00EA4C6C">
      <w:pPr>
        <w:tabs>
          <w:tab w:val="left" w:pos="1644"/>
        </w:tabs>
        <w:jc w:val="both"/>
        <w:rPr>
          <w:sz w:val="24"/>
          <w:szCs w:val="24"/>
          <w:lang w:val="es-ES_tradnl"/>
        </w:rPr>
      </w:pPr>
      <w:r w:rsidRPr="00FB3EBE">
        <w:rPr>
          <w:sz w:val="24"/>
          <w:szCs w:val="24"/>
          <w:lang w:val="es-ES_tradnl"/>
        </w:rPr>
        <w:t>Las amortizaciones sobre los bienes de uso son calculadas por el método lineal a partir del mes siguiente al de su incorporación.</w:t>
      </w:r>
    </w:p>
    <w:p w:rsidR="00EA4C6C" w:rsidRPr="00FB3EBE" w:rsidRDefault="00EA4C6C" w:rsidP="00EA4C6C">
      <w:pPr>
        <w:tabs>
          <w:tab w:val="left" w:pos="1644"/>
        </w:tabs>
        <w:jc w:val="both"/>
        <w:rPr>
          <w:sz w:val="24"/>
          <w:szCs w:val="24"/>
          <w:lang w:val="es-ES_tradnl"/>
        </w:rPr>
      </w:pPr>
      <w:r w:rsidRPr="00FB3EBE">
        <w:rPr>
          <w:sz w:val="24"/>
          <w:szCs w:val="24"/>
          <w:lang w:val="es-ES_tradnl"/>
        </w:rPr>
        <w:t>El costo de las mejoras incurridas que extiendan la vida útil de los bienes o incrementen su capacidad productiva es imputado a cuentas de activo. Los gastos de mantenimiento se vuelcan a resultados (rubro Mantenimiento Casa Scout).</w:t>
      </w:r>
    </w:p>
    <w:p w:rsidR="00EA4C6C" w:rsidRPr="00FB3EBE" w:rsidRDefault="00EA4C6C" w:rsidP="00EA4C6C">
      <w:pPr>
        <w:tabs>
          <w:tab w:val="left" w:pos="1644"/>
        </w:tabs>
        <w:jc w:val="both"/>
        <w:rPr>
          <w:sz w:val="24"/>
          <w:szCs w:val="24"/>
          <w:lang w:val="es-ES_tradnl"/>
        </w:rPr>
      </w:pPr>
      <w:r w:rsidRPr="00FB3EBE">
        <w:rPr>
          <w:sz w:val="24"/>
          <w:szCs w:val="24"/>
          <w:lang w:val="es-ES_tradnl"/>
        </w:rPr>
        <w:t>2.7 Cuentas a pagar.</w:t>
      </w:r>
    </w:p>
    <w:p w:rsidR="00EA4C6C" w:rsidRPr="00FB3EBE" w:rsidRDefault="00EA4C6C" w:rsidP="00EA4C6C">
      <w:pPr>
        <w:tabs>
          <w:tab w:val="left" w:pos="1644"/>
        </w:tabs>
        <w:jc w:val="both"/>
        <w:rPr>
          <w:sz w:val="24"/>
          <w:szCs w:val="24"/>
          <w:lang w:val="es-ES_tradnl"/>
        </w:rPr>
      </w:pPr>
      <w:r w:rsidRPr="00FB3EBE">
        <w:rPr>
          <w:sz w:val="24"/>
          <w:szCs w:val="24"/>
          <w:lang w:val="es-ES_tradnl"/>
        </w:rPr>
        <w:t>Las cuentas a pagar están presentadas a su costo.</w:t>
      </w:r>
    </w:p>
    <w:p w:rsidR="00EA4C6C" w:rsidRPr="00FB3EBE" w:rsidRDefault="00EA4C6C" w:rsidP="00EA4C6C">
      <w:pPr>
        <w:tabs>
          <w:tab w:val="left" w:pos="1644"/>
        </w:tabs>
        <w:jc w:val="both"/>
        <w:rPr>
          <w:sz w:val="24"/>
          <w:szCs w:val="24"/>
          <w:lang w:val="es-ES_tradnl"/>
        </w:rPr>
      </w:pPr>
      <w:r w:rsidRPr="00FB3EBE">
        <w:rPr>
          <w:sz w:val="24"/>
          <w:szCs w:val="24"/>
          <w:lang w:val="es-ES_tradnl"/>
        </w:rPr>
        <w:t>2.8 Determinación del resultado</w:t>
      </w:r>
    </w:p>
    <w:p w:rsidR="00EA4C6C" w:rsidRPr="00FB3EBE" w:rsidRDefault="00EA4C6C" w:rsidP="00EA4C6C">
      <w:pPr>
        <w:tabs>
          <w:tab w:val="left" w:pos="1644"/>
        </w:tabs>
        <w:jc w:val="both"/>
        <w:rPr>
          <w:sz w:val="24"/>
          <w:szCs w:val="24"/>
          <w:lang w:val="es-ES_tradnl"/>
        </w:rPr>
      </w:pPr>
      <w:r w:rsidRPr="00FB3EBE">
        <w:rPr>
          <w:sz w:val="24"/>
          <w:szCs w:val="24"/>
          <w:lang w:val="es-ES_tradnl"/>
        </w:rPr>
        <w:t>Los ingresos y costos se reconocen siguiendo el principio de lo devengado.</w:t>
      </w:r>
    </w:p>
    <w:p w:rsidR="00EA4C6C" w:rsidRPr="00FB3EBE" w:rsidRDefault="00EA4C6C" w:rsidP="00EA4C6C">
      <w:pPr>
        <w:tabs>
          <w:tab w:val="left" w:pos="1644"/>
        </w:tabs>
        <w:jc w:val="both"/>
        <w:rPr>
          <w:sz w:val="24"/>
          <w:szCs w:val="24"/>
          <w:lang w:val="es-ES_tradnl"/>
        </w:rPr>
      </w:pPr>
    </w:p>
    <w:p w:rsidR="00EA4C6C" w:rsidRPr="00FB3EBE" w:rsidRDefault="00EA4C6C" w:rsidP="00EA4C6C">
      <w:pPr>
        <w:tabs>
          <w:tab w:val="left" w:pos="1644"/>
        </w:tabs>
        <w:jc w:val="both"/>
        <w:rPr>
          <w:sz w:val="24"/>
          <w:szCs w:val="24"/>
          <w:lang w:val="es-ES_tradnl"/>
        </w:rPr>
      </w:pPr>
      <w:r w:rsidRPr="00FB3EBE">
        <w:rPr>
          <w:sz w:val="24"/>
          <w:szCs w:val="24"/>
          <w:lang w:val="es-ES_tradnl"/>
        </w:rPr>
        <w:t>NOTA 3 – ADMINISTRACIÓN DE RIESGO FINANCIERO</w:t>
      </w:r>
    </w:p>
    <w:p w:rsidR="00EA4C6C" w:rsidRPr="00FB3EBE" w:rsidRDefault="00EA4C6C" w:rsidP="00EA4C6C">
      <w:pPr>
        <w:tabs>
          <w:tab w:val="left" w:pos="1644"/>
        </w:tabs>
        <w:jc w:val="both"/>
        <w:rPr>
          <w:sz w:val="24"/>
          <w:szCs w:val="24"/>
          <w:lang w:val="es-ES_tradnl"/>
        </w:rPr>
      </w:pPr>
      <w:r w:rsidRPr="00FB3EBE">
        <w:rPr>
          <w:sz w:val="24"/>
          <w:szCs w:val="24"/>
          <w:lang w:val="es-ES_tradnl"/>
        </w:rPr>
        <w:t>Las actividades del Movimiento Scout del Uruguay la exponen principalmente a riesgo de crédito concentrado en las anualidades que abonan los socios.</w:t>
      </w:r>
    </w:p>
    <w:p w:rsidR="00EA4C6C" w:rsidRDefault="00EA4C6C" w:rsidP="00EA4C6C">
      <w:pPr>
        <w:tabs>
          <w:tab w:val="left" w:pos="1644"/>
        </w:tabs>
        <w:jc w:val="both"/>
        <w:rPr>
          <w:sz w:val="24"/>
          <w:szCs w:val="24"/>
          <w:lang w:val="es-ES_tradnl"/>
        </w:rPr>
      </w:pPr>
    </w:p>
    <w:p w:rsidR="00EA4C6C" w:rsidRPr="00FB3EBE" w:rsidRDefault="00EA4C6C" w:rsidP="00EA4C6C">
      <w:pPr>
        <w:tabs>
          <w:tab w:val="left" w:pos="1644"/>
        </w:tabs>
        <w:jc w:val="both"/>
        <w:rPr>
          <w:sz w:val="24"/>
          <w:szCs w:val="24"/>
          <w:lang w:val="es-ES_tradnl"/>
        </w:rPr>
      </w:pPr>
    </w:p>
    <w:p w:rsidR="00EA4C6C" w:rsidRPr="00FB3EBE" w:rsidRDefault="00EA4C6C" w:rsidP="00EA4C6C">
      <w:pPr>
        <w:tabs>
          <w:tab w:val="left" w:pos="1644"/>
        </w:tabs>
        <w:jc w:val="both"/>
        <w:rPr>
          <w:sz w:val="24"/>
          <w:szCs w:val="24"/>
          <w:lang w:val="es-ES_tradnl"/>
        </w:rPr>
      </w:pPr>
      <w:r w:rsidRPr="00FB3EBE">
        <w:rPr>
          <w:sz w:val="24"/>
          <w:szCs w:val="24"/>
          <w:lang w:val="es-ES_tradnl"/>
        </w:rPr>
        <w:t>NOTA 4 – FONDOS DISPONIBLES Y SUS EQUIVALENTES</w:t>
      </w:r>
    </w:p>
    <w:tbl>
      <w:tblPr>
        <w:tblW w:w="6110" w:type="dxa"/>
        <w:tblInd w:w="94" w:type="dxa"/>
        <w:tblLook w:val="04A0" w:firstRow="1" w:lastRow="0" w:firstColumn="1" w:lastColumn="0" w:noHBand="0" w:noVBand="1"/>
      </w:tblPr>
      <w:tblGrid>
        <w:gridCol w:w="3100"/>
        <w:gridCol w:w="1396"/>
        <w:gridCol w:w="1614"/>
      </w:tblGrid>
      <w:tr w:rsidR="00EA4C6C" w:rsidRPr="004338C1" w:rsidTr="00952BE0">
        <w:trPr>
          <w:gridAfter w:val="1"/>
          <w:wAfter w:w="1614" w:type="dxa"/>
          <w:trHeight w:val="300"/>
        </w:trPr>
        <w:tc>
          <w:tcPr>
            <w:tcW w:w="3100"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rPr>
                <w:rFonts w:eastAsia="Times New Roman"/>
                <w:b/>
                <w:bCs/>
                <w:color w:val="000000"/>
                <w:sz w:val="24"/>
                <w:szCs w:val="24"/>
                <w:lang w:val="en-US"/>
              </w:rPr>
            </w:pPr>
            <w:r w:rsidRPr="00FB3EBE">
              <w:rPr>
                <w:rFonts w:eastAsia="Times New Roman"/>
                <w:b/>
                <w:bCs/>
                <w:color w:val="000000"/>
                <w:sz w:val="24"/>
                <w:szCs w:val="24"/>
                <w:lang w:val="en-US"/>
              </w:rPr>
              <w:t>COMPOSICIÓN:</w:t>
            </w:r>
          </w:p>
        </w:tc>
        <w:tc>
          <w:tcPr>
            <w:tcW w:w="1396"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rPr>
                <w:rFonts w:eastAsia="Times New Roman"/>
                <w:color w:val="000000"/>
                <w:sz w:val="24"/>
                <w:szCs w:val="24"/>
                <w:lang w:val="en-US"/>
              </w:rPr>
            </w:pPr>
            <w:r w:rsidRPr="00FB3EBE">
              <w:rPr>
                <w:rFonts w:eastAsia="Times New Roman"/>
                <w:color w:val="000000"/>
                <w:sz w:val="24"/>
                <w:szCs w:val="24"/>
                <w:lang w:val="en-US"/>
              </w:rPr>
              <w:t> </w:t>
            </w:r>
          </w:p>
        </w:tc>
      </w:tr>
      <w:tr w:rsidR="00EA4C6C" w:rsidRPr="004338C1" w:rsidTr="00952BE0">
        <w:trPr>
          <w:gridAfter w:val="1"/>
          <w:wAfter w:w="1614" w:type="dxa"/>
          <w:trHeight w:val="300"/>
        </w:trPr>
        <w:tc>
          <w:tcPr>
            <w:tcW w:w="3100"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rPr>
                <w:rFonts w:eastAsia="Times New Roman"/>
                <w:color w:val="000000"/>
                <w:sz w:val="24"/>
                <w:szCs w:val="24"/>
                <w:lang w:val="en-US"/>
              </w:rPr>
            </w:pPr>
            <w:r w:rsidRPr="00FB3EBE">
              <w:rPr>
                <w:rFonts w:eastAsia="Times New Roman"/>
                <w:color w:val="000000"/>
                <w:sz w:val="24"/>
                <w:szCs w:val="24"/>
                <w:lang w:val="en-US"/>
              </w:rPr>
              <w:t> </w:t>
            </w:r>
          </w:p>
        </w:tc>
        <w:tc>
          <w:tcPr>
            <w:tcW w:w="1396"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jc w:val="right"/>
              <w:rPr>
                <w:rFonts w:eastAsia="Times New Roman"/>
                <w:b/>
                <w:bCs/>
                <w:color w:val="000000"/>
                <w:sz w:val="24"/>
                <w:szCs w:val="24"/>
                <w:lang w:val="en-US"/>
              </w:rPr>
            </w:pPr>
            <w:r>
              <w:rPr>
                <w:rFonts w:eastAsia="Times New Roman"/>
                <w:b/>
                <w:bCs/>
                <w:color w:val="000000"/>
                <w:sz w:val="24"/>
                <w:szCs w:val="24"/>
                <w:lang w:val="en-US"/>
              </w:rPr>
              <w:t>31/08/2014</w:t>
            </w:r>
          </w:p>
        </w:tc>
      </w:tr>
      <w:tr w:rsidR="00EA4C6C" w:rsidRPr="004338C1" w:rsidTr="00952BE0">
        <w:trPr>
          <w:gridAfter w:val="1"/>
          <w:wAfter w:w="1614" w:type="dxa"/>
          <w:trHeight w:val="300"/>
        </w:trPr>
        <w:tc>
          <w:tcPr>
            <w:tcW w:w="3100"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rPr>
                <w:rFonts w:eastAsia="Times New Roman"/>
                <w:color w:val="000000"/>
                <w:sz w:val="24"/>
                <w:szCs w:val="24"/>
                <w:lang w:val="en-US"/>
              </w:rPr>
            </w:pPr>
            <w:r w:rsidRPr="00FB3EBE">
              <w:rPr>
                <w:rFonts w:eastAsia="Times New Roman"/>
                <w:color w:val="000000"/>
                <w:sz w:val="24"/>
                <w:szCs w:val="24"/>
                <w:lang w:val="en-US"/>
              </w:rPr>
              <w:t> </w:t>
            </w:r>
          </w:p>
        </w:tc>
        <w:tc>
          <w:tcPr>
            <w:tcW w:w="1396"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jc w:val="center"/>
              <w:rPr>
                <w:rFonts w:eastAsia="Times New Roman"/>
                <w:b/>
                <w:bCs/>
                <w:color w:val="000000"/>
                <w:sz w:val="24"/>
                <w:szCs w:val="24"/>
                <w:lang w:val="en-US"/>
              </w:rPr>
            </w:pPr>
            <w:r w:rsidRPr="00FB3EBE">
              <w:rPr>
                <w:rFonts w:eastAsia="Times New Roman"/>
                <w:b/>
                <w:bCs/>
                <w:color w:val="000000"/>
                <w:sz w:val="24"/>
                <w:szCs w:val="24"/>
                <w:lang w:val="en-US"/>
              </w:rPr>
              <w:t>$</w:t>
            </w:r>
          </w:p>
        </w:tc>
      </w:tr>
      <w:tr w:rsidR="00EA4C6C" w:rsidRPr="004338C1" w:rsidTr="00952BE0">
        <w:trPr>
          <w:trHeight w:val="300"/>
        </w:trPr>
        <w:tc>
          <w:tcPr>
            <w:tcW w:w="3100"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rPr>
                <w:rFonts w:eastAsia="Times New Roman"/>
                <w:color w:val="000000"/>
                <w:sz w:val="24"/>
                <w:szCs w:val="24"/>
                <w:lang w:val="en-US"/>
              </w:rPr>
            </w:pPr>
            <w:proofErr w:type="spellStart"/>
            <w:r w:rsidRPr="00FB3EBE">
              <w:rPr>
                <w:rFonts w:eastAsia="Times New Roman"/>
                <w:color w:val="000000"/>
                <w:sz w:val="24"/>
                <w:szCs w:val="24"/>
                <w:lang w:val="en-US"/>
              </w:rPr>
              <w:t>Caja</w:t>
            </w:r>
            <w:proofErr w:type="spellEnd"/>
            <w:r w:rsidRPr="00FB3EBE">
              <w:rPr>
                <w:rFonts w:eastAsia="Times New Roman"/>
                <w:color w:val="000000"/>
                <w:sz w:val="24"/>
                <w:szCs w:val="24"/>
                <w:lang w:val="en-US"/>
              </w:rPr>
              <w:t xml:space="preserve"> </w:t>
            </w:r>
            <w:proofErr w:type="spellStart"/>
            <w:r w:rsidRPr="00FB3EBE">
              <w:rPr>
                <w:rFonts w:eastAsia="Times New Roman"/>
                <w:color w:val="000000"/>
                <w:sz w:val="24"/>
                <w:szCs w:val="24"/>
                <w:lang w:val="en-US"/>
              </w:rPr>
              <w:t>Moneda</w:t>
            </w:r>
            <w:proofErr w:type="spellEnd"/>
            <w:r w:rsidRPr="00FB3EBE">
              <w:rPr>
                <w:rFonts w:eastAsia="Times New Roman"/>
                <w:color w:val="000000"/>
                <w:sz w:val="24"/>
                <w:szCs w:val="24"/>
                <w:lang w:val="en-US"/>
              </w:rPr>
              <w:t xml:space="preserve"> Nacional</w:t>
            </w:r>
          </w:p>
        </w:tc>
        <w:tc>
          <w:tcPr>
            <w:tcW w:w="1396"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jc w:val="right"/>
              <w:rPr>
                <w:rFonts w:eastAsia="Times New Roman"/>
                <w:color w:val="000000"/>
                <w:sz w:val="24"/>
                <w:szCs w:val="24"/>
              </w:rPr>
            </w:pPr>
            <w:r>
              <w:rPr>
                <w:rFonts w:eastAsia="Times New Roman"/>
                <w:color w:val="000000"/>
                <w:sz w:val="24"/>
                <w:szCs w:val="24"/>
              </w:rPr>
              <w:t>56.145</w:t>
            </w:r>
            <w:r w:rsidRPr="00FB3EBE">
              <w:rPr>
                <w:rFonts w:eastAsia="Times New Roman"/>
                <w:color w:val="000000"/>
                <w:sz w:val="24"/>
                <w:szCs w:val="24"/>
              </w:rPr>
              <w:t xml:space="preserve"> </w:t>
            </w:r>
          </w:p>
        </w:tc>
        <w:tc>
          <w:tcPr>
            <w:tcW w:w="1614" w:type="dxa"/>
            <w:vAlign w:val="bottom"/>
          </w:tcPr>
          <w:p w:rsidR="00EA4C6C" w:rsidRDefault="00EA4C6C" w:rsidP="00952BE0">
            <w:pPr>
              <w:jc w:val="right"/>
              <w:rPr>
                <w:rFonts w:cs="Calibri"/>
              </w:rPr>
            </w:pPr>
            <w:r>
              <w:rPr>
                <w:rFonts w:cs="Calibri"/>
              </w:rPr>
              <w:t xml:space="preserve">                  </w:t>
            </w:r>
          </w:p>
        </w:tc>
      </w:tr>
      <w:tr w:rsidR="00EA4C6C" w:rsidRPr="004338C1" w:rsidTr="00952BE0">
        <w:trPr>
          <w:trHeight w:val="300"/>
        </w:trPr>
        <w:tc>
          <w:tcPr>
            <w:tcW w:w="3100"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rPr>
                <w:rFonts w:eastAsia="Times New Roman"/>
                <w:color w:val="000000"/>
                <w:sz w:val="24"/>
                <w:szCs w:val="24"/>
              </w:rPr>
            </w:pPr>
            <w:r w:rsidRPr="00FB3EBE">
              <w:rPr>
                <w:rFonts w:eastAsia="Times New Roman"/>
                <w:color w:val="000000"/>
                <w:sz w:val="24"/>
                <w:szCs w:val="24"/>
              </w:rPr>
              <w:t>Banco Moneda Nacional</w:t>
            </w:r>
          </w:p>
        </w:tc>
        <w:tc>
          <w:tcPr>
            <w:tcW w:w="1396"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jc w:val="right"/>
              <w:rPr>
                <w:rFonts w:eastAsia="Times New Roman"/>
                <w:color w:val="000000"/>
                <w:sz w:val="24"/>
                <w:szCs w:val="24"/>
              </w:rPr>
            </w:pPr>
            <w:r w:rsidRPr="00FB3EBE">
              <w:rPr>
                <w:rFonts w:eastAsia="Times New Roman"/>
                <w:color w:val="000000"/>
                <w:sz w:val="24"/>
                <w:szCs w:val="24"/>
              </w:rPr>
              <w:t xml:space="preserve">   </w:t>
            </w:r>
            <w:r>
              <w:rPr>
                <w:rFonts w:eastAsia="Times New Roman"/>
                <w:color w:val="000000"/>
                <w:sz w:val="24"/>
                <w:szCs w:val="24"/>
              </w:rPr>
              <w:t>473.276</w:t>
            </w:r>
            <w:r w:rsidRPr="00FB3EBE">
              <w:rPr>
                <w:rFonts w:eastAsia="Times New Roman"/>
                <w:color w:val="000000"/>
                <w:sz w:val="24"/>
                <w:szCs w:val="24"/>
              </w:rPr>
              <w:t xml:space="preserve"> </w:t>
            </w:r>
          </w:p>
        </w:tc>
        <w:tc>
          <w:tcPr>
            <w:tcW w:w="1614" w:type="dxa"/>
            <w:vAlign w:val="bottom"/>
          </w:tcPr>
          <w:p w:rsidR="00EA4C6C" w:rsidRDefault="00EA4C6C" w:rsidP="00952BE0">
            <w:pPr>
              <w:jc w:val="right"/>
              <w:rPr>
                <w:rFonts w:cs="Calibri"/>
              </w:rPr>
            </w:pPr>
            <w:r>
              <w:rPr>
                <w:rFonts w:cs="Calibri"/>
              </w:rPr>
              <w:t xml:space="preserve">               </w:t>
            </w:r>
          </w:p>
        </w:tc>
      </w:tr>
      <w:tr w:rsidR="00EA4C6C" w:rsidRPr="004338C1" w:rsidTr="00952BE0">
        <w:trPr>
          <w:trHeight w:val="300"/>
        </w:trPr>
        <w:tc>
          <w:tcPr>
            <w:tcW w:w="3100"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rPr>
                <w:rFonts w:eastAsia="Times New Roman"/>
                <w:color w:val="000000"/>
                <w:sz w:val="24"/>
                <w:szCs w:val="24"/>
              </w:rPr>
            </w:pPr>
            <w:r w:rsidRPr="00FB3EBE">
              <w:rPr>
                <w:rFonts w:eastAsia="Times New Roman"/>
                <w:color w:val="000000"/>
                <w:sz w:val="24"/>
                <w:szCs w:val="24"/>
              </w:rPr>
              <w:t>Banco M/E</w:t>
            </w:r>
          </w:p>
        </w:tc>
        <w:tc>
          <w:tcPr>
            <w:tcW w:w="1396" w:type="dxa"/>
            <w:tcBorders>
              <w:top w:val="nil"/>
              <w:left w:val="nil"/>
              <w:bottom w:val="single" w:sz="4" w:space="0" w:color="auto"/>
              <w:right w:val="nil"/>
            </w:tcBorders>
            <w:shd w:val="clear" w:color="FFFFCC" w:fill="FFFFFF"/>
            <w:noWrap/>
            <w:vAlign w:val="bottom"/>
            <w:hideMark/>
          </w:tcPr>
          <w:p w:rsidR="00EA4C6C" w:rsidRPr="00FB3EBE" w:rsidRDefault="00EA4C6C" w:rsidP="00952BE0">
            <w:pPr>
              <w:spacing w:after="0" w:line="240" w:lineRule="auto"/>
              <w:jc w:val="right"/>
              <w:rPr>
                <w:rFonts w:eastAsia="Times New Roman"/>
                <w:color w:val="000000"/>
                <w:sz w:val="24"/>
                <w:szCs w:val="24"/>
              </w:rPr>
            </w:pPr>
            <w:r w:rsidRPr="00FB3EBE">
              <w:rPr>
                <w:rFonts w:eastAsia="Times New Roman"/>
                <w:color w:val="000000"/>
                <w:sz w:val="24"/>
                <w:szCs w:val="24"/>
              </w:rPr>
              <w:t xml:space="preserve">   </w:t>
            </w:r>
            <w:r>
              <w:rPr>
                <w:rFonts w:eastAsia="Times New Roman"/>
                <w:color w:val="000000"/>
                <w:sz w:val="24"/>
                <w:szCs w:val="24"/>
              </w:rPr>
              <w:t>719.962</w:t>
            </w:r>
            <w:r w:rsidRPr="00FB3EBE">
              <w:rPr>
                <w:rFonts w:eastAsia="Times New Roman"/>
                <w:color w:val="000000"/>
                <w:sz w:val="24"/>
                <w:szCs w:val="24"/>
              </w:rPr>
              <w:t xml:space="preserve"> </w:t>
            </w:r>
          </w:p>
        </w:tc>
        <w:tc>
          <w:tcPr>
            <w:tcW w:w="1614" w:type="dxa"/>
            <w:vAlign w:val="bottom"/>
          </w:tcPr>
          <w:p w:rsidR="00EA4C6C" w:rsidRDefault="00EA4C6C" w:rsidP="00952BE0">
            <w:pPr>
              <w:jc w:val="right"/>
              <w:rPr>
                <w:rFonts w:cs="Calibri"/>
              </w:rPr>
            </w:pPr>
            <w:r>
              <w:rPr>
                <w:rFonts w:cs="Calibri"/>
              </w:rPr>
              <w:t xml:space="preserve">             </w:t>
            </w:r>
          </w:p>
        </w:tc>
      </w:tr>
      <w:tr w:rsidR="00EA4C6C" w:rsidRPr="004338C1" w:rsidTr="00952BE0">
        <w:trPr>
          <w:gridAfter w:val="1"/>
          <w:wAfter w:w="1614" w:type="dxa"/>
          <w:trHeight w:val="300"/>
        </w:trPr>
        <w:tc>
          <w:tcPr>
            <w:tcW w:w="3100"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rPr>
                <w:rFonts w:eastAsia="Times New Roman"/>
                <w:color w:val="000000"/>
                <w:sz w:val="24"/>
                <w:szCs w:val="24"/>
              </w:rPr>
            </w:pPr>
            <w:r w:rsidRPr="00FB3EBE">
              <w:rPr>
                <w:rFonts w:eastAsia="Times New Roman"/>
                <w:color w:val="000000"/>
                <w:sz w:val="24"/>
                <w:szCs w:val="24"/>
              </w:rPr>
              <w:t> </w:t>
            </w:r>
          </w:p>
        </w:tc>
        <w:tc>
          <w:tcPr>
            <w:tcW w:w="1396" w:type="dxa"/>
            <w:tcBorders>
              <w:top w:val="nil"/>
              <w:left w:val="nil"/>
              <w:bottom w:val="nil"/>
              <w:right w:val="nil"/>
            </w:tcBorders>
            <w:shd w:val="clear" w:color="FFFFCC" w:fill="FFFFFF"/>
            <w:noWrap/>
            <w:vAlign w:val="bottom"/>
            <w:hideMark/>
          </w:tcPr>
          <w:p w:rsidR="00EA4C6C" w:rsidRPr="00FB3EBE" w:rsidRDefault="00EA4C6C" w:rsidP="00952BE0">
            <w:pPr>
              <w:spacing w:after="0" w:line="240" w:lineRule="auto"/>
              <w:jc w:val="right"/>
              <w:rPr>
                <w:rFonts w:eastAsia="Times New Roman"/>
                <w:color w:val="000000"/>
                <w:sz w:val="24"/>
                <w:szCs w:val="24"/>
              </w:rPr>
            </w:pPr>
            <w:r w:rsidRPr="00FB3EBE">
              <w:rPr>
                <w:rFonts w:eastAsia="Times New Roman"/>
                <w:color w:val="000000"/>
                <w:sz w:val="24"/>
                <w:szCs w:val="24"/>
              </w:rPr>
              <w:t xml:space="preserve">   </w:t>
            </w:r>
            <w:r>
              <w:rPr>
                <w:rFonts w:eastAsia="Times New Roman"/>
                <w:color w:val="000000"/>
                <w:sz w:val="24"/>
                <w:szCs w:val="24"/>
              </w:rPr>
              <w:t>1.249.383</w:t>
            </w:r>
          </w:p>
        </w:tc>
      </w:tr>
    </w:tbl>
    <w:p w:rsidR="00EA4C6C" w:rsidRPr="00FB3EBE" w:rsidRDefault="00EA4C6C" w:rsidP="00EA4C6C">
      <w:pPr>
        <w:tabs>
          <w:tab w:val="left" w:pos="1644"/>
        </w:tabs>
        <w:rPr>
          <w:sz w:val="24"/>
          <w:szCs w:val="24"/>
          <w:lang w:val="es-ES_tradnl"/>
        </w:rPr>
      </w:pPr>
    </w:p>
    <w:p w:rsidR="00EA4C6C" w:rsidRPr="00FB3EBE" w:rsidRDefault="00EA4C6C" w:rsidP="00EA4C6C">
      <w:pPr>
        <w:tabs>
          <w:tab w:val="left" w:pos="1644"/>
        </w:tabs>
        <w:rPr>
          <w:sz w:val="24"/>
          <w:szCs w:val="24"/>
          <w:lang w:val="es-ES_tradnl"/>
        </w:rPr>
      </w:pPr>
      <w:r w:rsidRPr="00FB3EBE">
        <w:rPr>
          <w:sz w:val="24"/>
          <w:szCs w:val="24"/>
          <w:lang w:val="es-ES_tradnl"/>
        </w:rPr>
        <w:lastRenderedPageBreak/>
        <w:t>NOTA 5 – CRÉDITOS</w:t>
      </w:r>
    </w:p>
    <w:p w:rsidR="00EA4C6C" w:rsidRPr="00FB3EBE" w:rsidRDefault="00EA4C6C" w:rsidP="00EA4C6C">
      <w:pPr>
        <w:tabs>
          <w:tab w:val="left" w:pos="1644"/>
        </w:tabs>
        <w:jc w:val="both"/>
        <w:rPr>
          <w:sz w:val="24"/>
          <w:szCs w:val="24"/>
          <w:lang w:val="es-ES_tradnl"/>
        </w:rPr>
      </w:pPr>
      <w:r w:rsidRPr="00FB3EBE">
        <w:rPr>
          <w:sz w:val="24"/>
          <w:szCs w:val="24"/>
          <w:lang w:val="es-ES_tradnl"/>
        </w:rPr>
        <w:t>Los créditos corresponden básicamente a las anualidades a cobrar a los integrantes y a una partida gubernamental que se recibe a partir del año 2011.</w:t>
      </w:r>
    </w:p>
    <w:p w:rsidR="00EA4C6C" w:rsidRPr="00FB3EBE" w:rsidRDefault="00EA4C6C" w:rsidP="00EA4C6C">
      <w:pPr>
        <w:tabs>
          <w:tab w:val="left" w:pos="1644"/>
        </w:tabs>
        <w:jc w:val="both"/>
        <w:rPr>
          <w:sz w:val="24"/>
          <w:szCs w:val="24"/>
          <w:lang w:val="es-ES_tradnl"/>
        </w:rPr>
      </w:pPr>
      <w:r w:rsidRPr="00FB3EBE">
        <w:rPr>
          <w:sz w:val="24"/>
          <w:szCs w:val="24"/>
          <w:lang w:val="es-ES_tradnl"/>
        </w:rPr>
        <w:t>De acuerdo a lo establecido por normas contables adecuadas en Uruguay se constituye una previsión por incobrabilidad por concepto de anualidades.</w:t>
      </w:r>
    </w:p>
    <w:p w:rsidR="00EA4C6C" w:rsidRDefault="00EA4C6C" w:rsidP="00EA4C6C">
      <w:pPr>
        <w:tabs>
          <w:tab w:val="left" w:pos="1644"/>
        </w:tabs>
        <w:jc w:val="both"/>
        <w:rPr>
          <w:sz w:val="24"/>
          <w:szCs w:val="24"/>
          <w:lang w:val="es-ES_tradnl"/>
        </w:rPr>
      </w:pPr>
      <w:r w:rsidRPr="00FB3EBE">
        <w:rPr>
          <w:sz w:val="24"/>
          <w:szCs w:val="24"/>
          <w:lang w:val="es-ES_tradnl"/>
        </w:rPr>
        <w:t xml:space="preserve">El monto de </w:t>
      </w:r>
      <w:r>
        <w:rPr>
          <w:sz w:val="24"/>
          <w:szCs w:val="24"/>
          <w:lang w:val="es-ES_tradnl"/>
        </w:rPr>
        <w:t>la previsión asciende a $97.601</w:t>
      </w:r>
      <w:r w:rsidRPr="00FB3EBE">
        <w:rPr>
          <w:sz w:val="24"/>
          <w:szCs w:val="24"/>
          <w:lang w:val="es-ES_tradnl"/>
        </w:rPr>
        <w:t>.</w:t>
      </w:r>
    </w:p>
    <w:p w:rsidR="00EA4C6C" w:rsidRPr="00FB3EBE" w:rsidRDefault="00EA4C6C" w:rsidP="00EA4C6C">
      <w:pPr>
        <w:tabs>
          <w:tab w:val="left" w:pos="1644"/>
        </w:tabs>
        <w:jc w:val="both"/>
        <w:rPr>
          <w:sz w:val="24"/>
          <w:szCs w:val="24"/>
          <w:lang w:val="es-ES_tradnl"/>
        </w:rPr>
      </w:pPr>
    </w:p>
    <w:p w:rsidR="00EA4C6C" w:rsidRPr="00FB3EBE" w:rsidRDefault="00EA4C6C" w:rsidP="00EA4C6C">
      <w:pPr>
        <w:tabs>
          <w:tab w:val="left" w:pos="1644"/>
        </w:tabs>
        <w:jc w:val="both"/>
        <w:rPr>
          <w:sz w:val="24"/>
          <w:szCs w:val="24"/>
          <w:lang w:val="es-ES_tradnl"/>
        </w:rPr>
      </w:pPr>
      <w:r w:rsidRPr="00FB3EBE">
        <w:rPr>
          <w:sz w:val="24"/>
          <w:szCs w:val="24"/>
          <w:lang w:val="es-ES_tradnl"/>
        </w:rPr>
        <w:t>NOTA 6 – BIENES DE CAMBIO</w:t>
      </w:r>
    </w:p>
    <w:p w:rsidR="00EA4C6C" w:rsidRDefault="00EA4C6C" w:rsidP="00EA4C6C">
      <w:pPr>
        <w:tabs>
          <w:tab w:val="left" w:pos="1644"/>
        </w:tabs>
        <w:jc w:val="both"/>
        <w:rPr>
          <w:sz w:val="24"/>
          <w:szCs w:val="24"/>
          <w:lang w:val="es-ES_tradnl"/>
        </w:rPr>
      </w:pPr>
      <w:r>
        <w:rPr>
          <w:sz w:val="24"/>
          <w:szCs w:val="24"/>
          <w:lang w:val="es-ES_tradnl"/>
        </w:rPr>
        <w:t>Este rubro no registró movimientos durante el ejercicio</w:t>
      </w:r>
      <w:r w:rsidRPr="00FB3EBE">
        <w:rPr>
          <w:sz w:val="24"/>
          <w:szCs w:val="24"/>
          <w:lang w:val="es-ES_tradnl"/>
        </w:rPr>
        <w:t>.</w:t>
      </w:r>
    </w:p>
    <w:p w:rsidR="00EA4C6C" w:rsidRPr="00FB3EBE" w:rsidRDefault="00EA4C6C" w:rsidP="00EA4C6C">
      <w:pPr>
        <w:tabs>
          <w:tab w:val="left" w:pos="1644"/>
        </w:tabs>
        <w:jc w:val="both"/>
        <w:rPr>
          <w:sz w:val="24"/>
          <w:szCs w:val="24"/>
          <w:lang w:val="es-ES_tradnl"/>
        </w:rPr>
      </w:pPr>
    </w:p>
    <w:p w:rsidR="00EA4C6C" w:rsidRPr="00FB3EBE" w:rsidRDefault="00EA4C6C" w:rsidP="00EA4C6C">
      <w:pPr>
        <w:tabs>
          <w:tab w:val="left" w:pos="1644"/>
        </w:tabs>
        <w:jc w:val="both"/>
        <w:rPr>
          <w:sz w:val="24"/>
          <w:szCs w:val="24"/>
          <w:lang w:val="es-ES_tradnl"/>
        </w:rPr>
      </w:pPr>
      <w:r w:rsidRPr="00FB3EBE">
        <w:rPr>
          <w:sz w:val="24"/>
          <w:szCs w:val="24"/>
          <w:lang w:val="es-ES_tradnl"/>
        </w:rPr>
        <w:t>NOTA 7 – BIENES DE USO</w:t>
      </w:r>
    </w:p>
    <w:p w:rsidR="00EA4C6C" w:rsidRPr="00FB3EBE" w:rsidRDefault="00EA4C6C" w:rsidP="00EA4C6C">
      <w:pPr>
        <w:tabs>
          <w:tab w:val="left" w:pos="1644"/>
        </w:tabs>
        <w:jc w:val="both"/>
        <w:rPr>
          <w:sz w:val="24"/>
          <w:szCs w:val="24"/>
          <w:lang w:val="es-ES_tradnl"/>
        </w:rPr>
      </w:pPr>
      <w:r w:rsidRPr="00FB3EBE">
        <w:rPr>
          <w:sz w:val="24"/>
          <w:szCs w:val="24"/>
          <w:lang w:val="es-ES_tradnl"/>
        </w:rPr>
        <w:t>La composición de los saldos de bienes de uso se expone en el Anexo de Bienes de Uso y Amortizaciones, incluyendo las incorporaciones del período.</w:t>
      </w:r>
    </w:p>
    <w:p w:rsidR="00EA4C6C" w:rsidRPr="00FB3EBE" w:rsidRDefault="00EA4C6C" w:rsidP="00EA4C6C">
      <w:pPr>
        <w:tabs>
          <w:tab w:val="left" w:pos="1644"/>
        </w:tabs>
        <w:jc w:val="both"/>
        <w:rPr>
          <w:sz w:val="24"/>
          <w:szCs w:val="24"/>
          <w:lang w:val="es-ES_tradnl"/>
        </w:rPr>
      </w:pPr>
      <w:r w:rsidRPr="00FB3EBE">
        <w:rPr>
          <w:sz w:val="24"/>
          <w:szCs w:val="24"/>
          <w:lang w:val="es-ES_tradnl"/>
        </w:rPr>
        <w:t>Este rubro está conformado por el inmueble, muebles y útiles y equipos de computación.</w:t>
      </w:r>
    </w:p>
    <w:p w:rsidR="00EA4C6C" w:rsidRDefault="00EA4C6C" w:rsidP="00EA4C6C">
      <w:pPr>
        <w:tabs>
          <w:tab w:val="left" w:pos="1644"/>
        </w:tabs>
        <w:jc w:val="both"/>
        <w:rPr>
          <w:sz w:val="24"/>
          <w:szCs w:val="24"/>
          <w:lang w:val="es-ES_tradnl"/>
        </w:rPr>
      </w:pPr>
      <w:r w:rsidRPr="00FB3EBE">
        <w:rPr>
          <w:sz w:val="24"/>
          <w:szCs w:val="24"/>
          <w:lang w:val="es-ES_tradnl"/>
        </w:rPr>
        <w:t>Las amortizaciones del ejercicio expuestas en el  Estado de Result</w:t>
      </w:r>
      <w:r>
        <w:rPr>
          <w:sz w:val="24"/>
          <w:szCs w:val="24"/>
          <w:lang w:val="es-ES_tradnl"/>
        </w:rPr>
        <w:t>ados ascienden a $86.141</w:t>
      </w:r>
      <w:r w:rsidRPr="00FB3EBE">
        <w:rPr>
          <w:sz w:val="24"/>
          <w:szCs w:val="24"/>
          <w:lang w:val="es-ES_tradnl"/>
        </w:rPr>
        <w:t>.</w:t>
      </w:r>
    </w:p>
    <w:p w:rsidR="00EA4C6C" w:rsidRPr="00FB3EBE" w:rsidRDefault="00EA4C6C" w:rsidP="00EA4C6C">
      <w:pPr>
        <w:tabs>
          <w:tab w:val="left" w:pos="1644"/>
        </w:tabs>
        <w:jc w:val="both"/>
        <w:rPr>
          <w:sz w:val="24"/>
          <w:szCs w:val="24"/>
          <w:lang w:val="es-ES_tradnl"/>
        </w:rPr>
      </w:pPr>
    </w:p>
    <w:p w:rsidR="00EA4C6C" w:rsidRPr="00FB3EBE" w:rsidRDefault="00EA4C6C" w:rsidP="00EA4C6C">
      <w:pPr>
        <w:tabs>
          <w:tab w:val="left" w:pos="1644"/>
        </w:tabs>
        <w:jc w:val="both"/>
        <w:rPr>
          <w:sz w:val="24"/>
          <w:szCs w:val="24"/>
          <w:lang w:val="es-ES_tradnl"/>
        </w:rPr>
      </w:pPr>
      <w:r w:rsidRPr="00FB3EBE">
        <w:rPr>
          <w:sz w:val="24"/>
          <w:szCs w:val="24"/>
          <w:lang w:val="es-ES_tradnl"/>
        </w:rPr>
        <w:t>NOTA 8 – PASIVO CORRIENTE</w:t>
      </w:r>
    </w:p>
    <w:p w:rsidR="00EA4C6C" w:rsidRDefault="00EA4C6C" w:rsidP="00EA4C6C">
      <w:pPr>
        <w:tabs>
          <w:tab w:val="left" w:pos="1644"/>
        </w:tabs>
        <w:jc w:val="both"/>
        <w:rPr>
          <w:sz w:val="24"/>
          <w:szCs w:val="24"/>
          <w:lang w:val="es-ES_tradnl"/>
        </w:rPr>
      </w:pPr>
      <w:r w:rsidRPr="00FB3EBE">
        <w:rPr>
          <w:sz w:val="24"/>
          <w:szCs w:val="24"/>
          <w:lang w:val="es-ES_tradnl"/>
        </w:rPr>
        <w:t>Corresponde a las cuentas a pagar generadas por el Movimiento Scout del Uruguay en el último mes que aún no han sido pagas. Adicionalmente se adeudan las cuotas de OSI, OMMS y BSE.</w:t>
      </w:r>
    </w:p>
    <w:p w:rsidR="00EA4C6C" w:rsidRPr="00FB3EBE" w:rsidRDefault="00EA4C6C" w:rsidP="00EA4C6C">
      <w:pPr>
        <w:tabs>
          <w:tab w:val="left" w:pos="1644"/>
        </w:tabs>
        <w:jc w:val="both"/>
        <w:rPr>
          <w:sz w:val="24"/>
          <w:szCs w:val="24"/>
          <w:lang w:val="es-ES_tradnl"/>
        </w:rPr>
      </w:pPr>
    </w:p>
    <w:p w:rsidR="00EA4C6C" w:rsidRPr="00FB3EBE" w:rsidRDefault="00EA4C6C" w:rsidP="00EA4C6C">
      <w:pPr>
        <w:tabs>
          <w:tab w:val="left" w:pos="1644"/>
        </w:tabs>
        <w:jc w:val="both"/>
        <w:rPr>
          <w:sz w:val="24"/>
          <w:szCs w:val="24"/>
          <w:lang w:val="es-ES_tradnl"/>
        </w:rPr>
      </w:pPr>
      <w:r w:rsidRPr="00FB3EBE">
        <w:rPr>
          <w:sz w:val="24"/>
          <w:szCs w:val="24"/>
          <w:lang w:val="es-ES_tradnl"/>
        </w:rPr>
        <w:t>NOTA 9 – PASIVO NO CORRIENTE</w:t>
      </w:r>
    </w:p>
    <w:p w:rsidR="00EA4C6C" w:rsidRPr="00FB3EBE" w:rsidRDefault="00EA4C6C" w:rsidP="00EA4C6C">
      <w:pPr>
        <w:tabs>
          <w:tab w:val="left" w:pos="1644"/>
        </w:tabs>
        <w:jc w:val="both"/>
        <w:rPr>
          <w:sz w:val="24"/>
          <w:szCs w:val="24"/>
          <w:lang w:val="es-ES_tradnl"/>
        </w:rPr>
      </w:pPr>
      <w:r w:rsidRPr="00FB3EBE">
        <w:rPr>
          <w:sz w:val="24"/>
          <w:szCs w:val="24"/>
          <w:lang w:val="es-ES_tradnl"/>
        </w:rPr>
        <w:t>Se compone por la deuda contraída con la Fundación Católica al momento de la creación del Movimiento Scout del Uruguay y por una deuda con la Intendencia de Montevideo generada por contribuciones impagas de ejercicios anteriores y sus correspondientes multas y recargos.</w:t>
      </w:r>
    </w:p>
    <w:p w:rsidR="00EA4C6C" w:rsidRDefault="00EA4C6C" w:rsidP="00EA4C6C">
      <w:pPr>
        <w:tabs>
          <w:tab w:val="left" w:pos="1644"/>
        </w:tabs>
        <w:jc w:val="both"/>
        <w:rPr>
          <w:sz w:val="24"/>
          <w:szCs w:val="24"/>
          <w:lang w:val="es-ES_tradnl"/>
        </w:rPr>
      </w:pPr>
    </w:p>
    <w:p w:rsidR="00EA4C6C" w:rsidRPr="00FB3EBE" w:rsidRDefault="00EA4C6C" w:rsidP="00EA4C6C">
      <w:pPr>
        <w:tabs>
          <w:tab w:val="left" w:pos="1644"/>
        </w:tabs>
        <w:jc w:val="both"/>
        <w:rPr>
          <w:sz w:val="24"/>
          <w:szCs w:val="24"/>
          <w:lang w:val="es-ES_tradnl"/>
        </w:rPr>
      </w:pPr>
      <w:r w:rsidRPr="00FB3EBE">
        <w:rPr>
          <w:sz w:val="24"/>
          <w:szCs w:val="24"/>
          <w:lang w:val="es-ES_tradnl"/>
        </w:rPr>
        <w:t>NOTA 10 – INGRESOS POR ANUALIDADES</w:t>
      </w:r>
    </w:p>
    <w:p w:rsidR="00EA4C6C" w:rsidRPr="00FB3EBE" w:rsidRDefault="00EA4C6C" w:rsidP="00EA4C6C">
      <w:pPr>
        <w:tabs>
          <w:tab w:val="left" w:pos="1644"/>
        </w:tabs>
        <w:jc w:val="both"/>
        <w:rPr>
          <w:sz w:val="24"/>
          <w:szCs w:val="24"/>
          <w:lang w:val="es-ES_tradnl"/>
        </w:rPr>
      </w:pPr>
      <w:r>
        <w:rPr>
          <w:sz w:val="24"/>
          <w:szCs w:val="24"/>
          <w:lang w:val="es-ES_tradnl"/>
        </w:rPr>
        <w:t>E</w:t>
      </w:r>
      <w:r w:rsidRPr="00FB3EBE">
        <w:rPr>
          <w:sz w:val="24"/>
          <w:szCs w:val="24"/>
          <w:lang w:val="es-ES_tradnl"/>
        </w:rPr>
        <w:t>l criterio de reconocimiento de los ingresos por concepto de anua</w:t>
      </w:r>
      <w:r>
        <w:rPr>
          <w:sz w:val="24"/>
          <w:szCs w:val="24"/>
          <w:lang w:val="es-ES_tradnl"/>
        </w:rPr>
        <w:t>lidades, busca reflejar de forma razonable</w:t>
      </w:r>
      <w:r w:rsidRPr="00FB3EBE">
        <w:rPr>
          <w:sz w:val="24"/>
          <w:szCs w:val="24"/>
          <w:lang w:val="es-ES_tradnl"/>
        </w:rPr>
        <w:t xml:space="preserve"> el </w:t>
      </w:r>
      <w:proofErr w:type="spellStart"/>
      <w:r w:rsidRPr="00FB3EBE">
        <w:rPr>
          <w:sz w:val="24"/>
          <w:szCs w:val="24"/>
          <w:lang w:val="es-ES_tradnl"/>
        </w:rPr>
        <w:t>devengamiento</w:t>
      </w:r>
      <w:proofErr w:type="spellEnd"/>
      <w:r w:rsidRPr="00FB3EBE">
        <w:rPr>
          <w:sz w:val="24"/>
          <w:szCs w:val="24"/>
          <w:lang w:val="es-ES_tradnl"/>
        </w:rPr>
        <w:t xml:space="preserve"> del rubro.</w:t>
      </w:r>
    </w:p>
    <w:p w:rsidR="00EA4C6C" w:rsidRPr="00FB3EBE" w:rsidRDefault="00EA4C6C" w:rsidP="00EA4C6C">
      <w:pPr>
        <w:tabs>
          <w:tab w:val="left" w:pos="1644"/>
        </w:tabs>
        <w:jc w:val="both"/>
        <w:rPr>
          <w:sz w:val="24"/>
          <w:szCs w:val="24"/>
          <w:lang w:val="es-ES_tradnl"/>
        </w:rPr>
      </w:pPr>
      <w:r>
        <w:rPr>
          <w:sz w:val="24"/>
          <w:szCs w:val="24"/>
          <w:lang w:val="es-ES_tradnl"/>
        </w:rPr>
        <w:lastRenderedPageBreak/>
        <w:t>El dinero</w:t>
      </w:r>
      <w:r w:rsidRPr="00FB3EBE">
        <w:rPr>
          <w:sz w:val="24"/>
          <w:szCs w:val="24"/>
          <w:lang w:val="es-ES_tradnl"/>
        </w:rPr>
        <w:t xml:space="preserve"> cobrado por concepto de anualidades se corresponde con el año civil, lo que no es coincidente con el ejercicio económico.</w:t>
      </w:r>
    </w:p>
    <w:p w:rsidR="00EA4C6C" w:rsidRPr="00FB3EBE" w:rsidRDefault="00EA4C6C" w:rsidP="00EA4C6C">
      <w:pPr>
        <w:tabs>
          <w:tab w:val="left" w:pos="1644"/>
        </w:tabs>
        <w:rPr>
          <w:sz w:val="24"/>
          <w:szCs w:val="24"/>
          <w:lang w:val="es-ES_tradnl"/>
        </w:rPr>
      </w:pPr>
      <w:r>
        <w:rPr>
          <w:sz w:val="24"/>
          <w:szCs w:val="24"/>
          <w:lang w:val="es-ES_tradnl"/>
        </w:rPr>
        <w:t>Hasta el ejercicio cerrado el 31.08.2012</w:t>
      </w:r>
      <w:r w:rsidRPr="00FB3EBE">
        <w:rPr>
          <w:sz w:val="24"/>
          <w:szCs w:val="24"/>
          <w:lang w:val="es-ES_tradnl"/>
        </w:rPr>
        <w:t xml:space="preserve">, al momento de cobrar una anualidad se reconocía la totalidad de lo abonado como un ingreso de ese ejercicio. </w:t>
      </w:r>
    </w:p>
    <w:p w:rsidR="00EA4C6C" w:rsidRPr="00FB3EBE" w:rsidRDefault="00EA4C6C" w:rsidP="00EA4C6C">
      <w:pPr>
        <w:tabs>
          <w:tab w:val="left" w:pos="1644"/>
        </w:tabs>
        <w:rPr>
          <w:sz w:val="24"/>
          <w:szCs w:val="24"/>
          <w:lang w:val="es-ES_tradnl"/>
        </w:rPr>
      </w:pPr>
      <w:r>
        <w:rPr>
          <w:sz w:val="24"/>
          <w:szCs w:val="24"/>
          <w:lang w:val="es-ES_tradnl"/>
        </w:rPr>
        <w:t xml:space="preserve">El </w:t>
      </w:r>
      <w:r w:rsidRPr="00FB3EBE">
        <w:rPr>
          <w:sz w:val="24"/>
          <w:szCs w:val="24"/>
          <w:lang w:val="es-ES_tradnl"/>
        </w:rPr>
        <w:t xml:space="preserve">criterio adoptado </w:t>
      </w:r>
      <w:r>
        <w:rPr>
          <w:sz w:val="24"/>
          <w:szCs w:val="24"/>
          <w:lang w:val="es-ES_tradnl"/>
        </w:rPr>
        <w:t xml:space="preserve">el ejercicio pasado </w:t>
      </w:r>
      <w:r w:rsidRPr="00FB3EBE">
        <w:rPr>
          <w:sz w:val="24"/>
          <w:szCs w:val="24"/>
          <w:lang w:val="es-ES_tradnl"/>
        </w:rPr>
        <w:t>discrimina la porción correspondiente de ingresos del ejercicio en curso (reconociendo la ganancia</w:t>
      </w:r>
      <w:r>
        <w:rPr>
          <w:sz w:val="24"/>
          <w:szCs w:val="24"/>
          <w:lang w:val="es-ES_tradnl"/>
        </w:rPr>
        <w:t xml:space="preserve"> en el rubro Anualidades 2013-2014</w:t>
      </w:r>
      <w:r w:rsidRPr="00FB3EBE">
        <w:rPr>
          <w:sz w:val="24"/>
          <w:szCs w:val="24"/>
          <w:lang w:val="es-ES_tradnl"/>
        </w:rPr>
        <w:t>) y la porción que corresponde a un ingreso del ejercicio siguiente, volcándola en el Pasivo en el rubro Anua</w:t>
      </w:r>
      <w:r>
        <w:rPr>
          <w:sz w:val="24"/>
          <w:szCs w:val="24"/>
          <w:lang w:val="es-ES_tradnl"/>
        </w:rPr>
        <w:t>lidades diferidas ejercicio 2014-2015</w:t>
      </w:r>
      <w:r w:rsidRPr="00FB3EBE">
        <w:rPr>
          <w:sz w:val="24"/>
          <w:szCs w:val="24"/>
          <w:lang w:val="es-ES_tradnl"/>
        </w:rPr>
        <w:t xml:space="preserve">. </w:t>
      </w:r>
    </w:p>
    <w:p w:rsidR="00EA4C6C" w:rsidRDefault="00EA4C6C" w:rsidP="00EA4C6C">
      <w:pPr>
        <w:tabs>
          <w:tab w:val="left" w:pos="1644"/>
        </w:tabs>
        <w:jc w:val="both"/>
        <w:rPr>
          <w:sz w:val="24"/>
          <w:szCs w:val="24"/>
          <w:lang w:val="es-ES_tradnl"/>
        </w:rPr>
      </w:pPr>
    </w:p>
    <w:p w:rsidR="00412C17" w:rsidRPr="00FB3EBE" w:rsidRDefault="00412C17" w:rsidP="00412C17">
      <w:pPr>
        <w:tabs>
          <w:tab w:val="left" w:pos="1644"/>
        </w:tabs>
        <w:jc w:val="both"/>
        <w:rPr>
          <w:sz w:val="24"/>
          <w:szCs w:val="24"/>
          <w:lang w:val="es-ES_tradnl"/>
        </w:rPr>
      </w:pPr>
      <w:r>
        <w:rPr>
          <w:sz w:val="24"/>
          <w:szCs w:val="24"/>
          <w:lang w:val="es-ES_tradnl"/>
        </w:rPr>
        <w:t>NOTA 11 – CUENTAS ASÓMATE CHE A LIQUIDAR y MOOT A RENDIR</w:t>
      </w:r>
    </w:p>
    <w:p w:rsidR="00412C17" w:rsidRDefault="00412C17" w:rsidP="00412C17">
      <w:pPr>
        <w:tabs>
          <w:tab w:val="left" w:pos="1644"/>
        </w:tabs>
        <w:jc w:val="both"/>
        <w:rPr>
          <w:sz w:val="24"/>
          <w:szCs w:val="24"/>
          <w:lang w:val="es-ES_tradnl"/>
        </w:rPr>
      </w:pPr>
      <w:r w:rsidRPr="00FB3EBE">
        <w:rPr>
          <w:sz w:val="24"/>
          <w:szCs w:val="24"/>
          <w:lang w:val="es-ES_tradnl"/>
        </w:rPr>
        <w:t xml:space="preserve">Al cierre del ejercicio figuran en la cuenta corriente de BROU ME </w:t>
      </w:r>
      <w:r>
        <w:rPr>
          <w:sz w:val="24"/>
          <w:szCs w:val="24"/>
          <w:lang w:val="es-ES_tradnl"/>
        </w:rPr>
        <w:t>un total de $128.447.</w:t>
      </w:r>
      <w:r w:rsidRPr="00FB3EBE">
        <w:rPr>
          <w:sz w:val="24"/>
          <w:szCs w:val="24"/>
          <w:lang w:val="es-ES_tradnl"/>
        </w:rPr>
        <w:t xml:space="preserve"> La contrapartida contable ha sido reconocida en el rubro </w:t>
      </w:r>
      <w:r>
        <w:rPr>
          <w:sz w:val="24"/>
          <w:szCs w:val="24"/>
          <w:lang w:val="es-ES_tradnl"/>
        </w:rPr>
        <w:t>Asómate Che a Liquidar</w:t>
      </w:r>
      <w:r w:rsidRPr="00FB3EBE">
        <w:rPr>
          <w:sz w:val="24"/>
          <w:szCs w:val="24"/>
          <w:lang w:val="es-ES_tradnl"/>
        </w:rPr>
        <w:t xml:space="preserve"> del Pasivo. </w:t>
      </w:r>
    </w:p>
    <w:p w:rsidR="00412C17" w:rsidRDefault="00412C17" w:rsidP="00412C17">
      <w:pPr>
        <w:tabs>
          <w:tab w:val="left" w:pos="1644"/>
        </w:tabs>
        <w:jc w:val="both"/>
        <w:rPr>
          <w:sz w:val="24"/>
          <w:szCs w:val="24"/>
          <w:lang w:val="es-ES_tradnl"/>
        </w:rPr>
      </w:pPr>
      <w:r>
        <w:rPr>
          <w:sz w:val="24"/>
          <w:szCs w:val="24"/>
          <w:lang w:val="es-ES_tradnl"/>
        </w:rPr>
        <w:t xml:space="preserve">A fin de ejercicio no se ha logrado finalizar con el procesamiento de los comprobantes de estas dos actividades. Se ha reconocido el ingreso de fondos por el pago que realizan los integrantes en la cuenta USD del BROU contra un Pasivo correspondiente a los gastos por estos conceptos a rendir, hasta finalizar con el correcto cierre.  </w:t>
      </w:r>
    </w:p>
    <w:p w:rsidR="00412C17" w:rsidRDefault="00412C17" w:rsidP="00412C17">
      <w:pPr>
        <w:tabs>
          <w:tab w:val="left" w:pos="1644"/>
        </w:tabs>
        <w:jc w:val="both"/>
        <w:rPr>
          <w:sz w:val="24"/>
          <w:szCs w:val="24"/>
          <w:lang w:val="es-ES_tradnl"/>
        </w:rPr>
      </w:pPr>
    </w:p>
    <w:p w:rsidR="00412C17" w:rsidRDefault="00412C17" w:rsidP="00412C17">
      <w:pPr>
        <w:tabs>
          <w:tab w:val="left" w:pos="1644"/>
        </w:tabs>
        <w:jc w:val="both"/>
        <w:rPr>
          <w:sz w:val="24"/>
          <w:szCs w:val="24"/>
          <w:lang w:val="es-ES_tradnl"/>
        </w:rPr>
      </w:pPr>
      <w:r>
        <w:rPr>
          <w:sz w:val="24"/>
          <w:szCs w:val="24"/>
          <w:lang w:val="es-ES_tradnl"/>
        </w:rPr>
        <w:t>NOTA 12 – OTROS GASTOS</w:t>
      </w:r>
    </w:p>
    <w:p w:rsidR="00412C17" w:rsidRDefault="00412C17" w:rsidP="00412C17">
      <w:pPr>
        <w:tabs>
          <w:tab w:val="left" w:pos="1644"/>
        </w:tabs>
        <w:jc w:val="both"/>
        <w:rPr>
          <w:sz w:val="24"/>
          <w:szCs w:val="24"/>
          <w:lang w:val="es-ES_tradnl"/>
        </w:rPr>
      </w:pPr>
      <w:r>
        <w:rPr>
          <w:sz w:val="24"/>
          <w:szCs w:val="24"/>
          <w:lang w:val="es-ES_tradnl"/>
        </w:rPr>
        <w:t xml:space="preserve">Corresponde a gastos por alojamiento en Cursos de Formación. No ha llegado el comprobante oficial aún, motivo por el cual lo diferenciamos en este rubro. </w:t>
      </w:r>
    </w:p>
    <w:p w:rsidR="00412C17" w:rsidRDefault="00412C17" w:rsidP="00412C17">
      <w:pPr>
        <w:tabs>
          <w:tab w:val="left" w:pos="1245"/>
        </w:tabs>
        <w:jc w:val="both"/>
        <w:rPr>
          <w:sz w:val="24"/>
          <w:szCs w:val="24"/>
          <w:lang w:val="es-ES_tradnl"/>
        </w:rPr>
      </w:pPr>
    </w:p>
    <w:p w:rsidR="00EA4C6C" w:rsidRPr="00F0674C" w:rsidRDefault="00412C17" w:rsidP="00EA4C6C">
      <w:pPr>
        <w:tabs>
          <w:tab w:val="left" w:pos="5055"/>
        </w:tabs>
        <w:rPr>
          <w:sz w:val="24"/>
          <w:szCs w:val="24"/>
          <w:lang w:val="es-ES_tradnl"/>
        </w:rPr>
      </w:pPr>
      <w:r>
        <w:rPr>
          <w:sz w:val="24"/>
          <w:szCs w:val="24"/>
          <w:lang w:val="es-ES_tradnl"/>
        </w:rPr>
        <w:t>NOTA 13</w:t>
      </w:r>
      <w:r w:rsidR="00EA4C6C" w:rsidRPr="00F0674C">
        <w:rPr>
          <w:sz w:val="24"/>
          <w:szCs w:val="24"/>
          <w:lang w:val="es-ES_tradnl"/>
        </w:rPr>
        <w:t xml:space="preserve"> – HECHOS POSTERIORES</w:t>
      </w:r>
      <w:r w:rsidR="00EA4C6C" w:rsidRPr="00F0674C">
        <w:rPr>
          <w:sz w:val="24"/>
          <w:szCs w:val="24"/>
          <w:lang w:val="es-ES_tradnl"/>
        </w:rPr>
        <w:tab/>
      </w:r>
    </w:p>
    <w:p w:rsidR="00EA4C6C" w:rsidRPr="00F0674C" w:rsidRDefault="00EA4C6C" w:rsidP="00EA4C6C">
      <w:pPr>
        <w:rPr>
          <w:sz w:val="24"/>
          <w:szCs w:val="24"/>
          <w:lang w:val="es-ES_tradnl"/>
        </w:rPr>
      </w:pPr>
      <w:r w:rsidRPr="00F0674C">
        <w:rPr>
          <w:sz w:val="24"/>
          <w:szCs w:val="24"/>
          <w:lang w:val="es-ES_tradnl"/>
        </w:rPr>
        <w:t xml:space="preserve">No se registraron hechos posteriores a la fecha de cierre de balance que afecten significativamente la situación económico-financiera de la organización. </w:t>
      </w:r>
    </w:p>
    <w:p w:rsidR="00EA4C6C" w:rsidRPr="00D66083" w:rsidRDefault="00EA4C6C">
      <w:pPr>
        <w:rPr>
          <w:lang w:val="es-ES_tradnl"/>
        </w:rPr>
      </w:pPr>
    </w:p>
    <w:sectPr w:rsidR="00EA4C6C" w:rsidRPr="00D66083" w:rsidSect="00EA4C6C">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35" w:rsidRDefault="00707535" w:rsidP="00D66083">
      <w:pPr>
        <w:spacing w:after="0" w:line="240" w:lineRule="auto"/>
      </w:pPr>
      <w:r>
        <w:separator/>
      </w:r>
    </w:p>
  </w:endnote>
  <w:endnote w:type="continuationSeparator" w:id="0">
    <w:p w:rsidR="00707535" w:rsidRDefault="00707535" w:rsidP="00D6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35" w:rsidRDefault="00707535" w:rsidP="00D66083">
      <w:pPr>
        <w:spacing w:after="0" w:line="240" w:lineRule="auto"/>
      </w:pPr>
      <w:r>
        <w:separator/>
      </w:r>
    </w:p>
  </w:footnote>
  <w:footnote w:type="continuationSeparator" w:id="0">
    <w:p w:rsidR="00707535" w:rsidRDefault="00707535" w:rsidP="00D66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83" w:rsidRDefault="00D66083">
    <w:pPr>
      <w:pStyle w:val="Encabezado"/>
    </w:pPr>
    <w:r w:rsidRPr="001E01EF">
      <w:rPr>
        <w:noProof/>
        <w:lang w:eastAsia="es-UY"/>
      </w:rPr>
      <w:drawing>
        <wp:inline distT="0" distB="0" distL="0" distR="0" wp14:anchorId="61BA5B6D" wp14:editId="45523F7C">
          <wp:extent cx="1155940" cy="935690"/>
          <wp:effectExtent l="0" t="0" r="0" b="0"/>
          <wp:docPr id="12" name="Imagen 12" descr="Logo 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S.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409" cy="9368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C0"/>
    <w:rsid w:val="003B51CA"/>
    <w:rsid w:val="00412C17"/>
    <w:rsid w:val="005E1DB3"/>
    <w:rsid w:val="006C75C0"/>
    <w:rsid w:val="00707535"/>
    <w:rsid w:val="007B31D0"/>
    <w:rsid w:val="00845BDA"/>
    <w:rsid w:val="008F0291"/>
    <w:rsid w:val="00AA2F3F"/>
    <w:rsid w:val="00CA3415"/>
    <w:rsid w:val="00CF6157"/>
    <w:rsid w:val="00D66083"/>
    <w:rsid w:val="00E869EB"/>
    <w:rsid w:val="00EA4C6C"/>
    <w:rsid w:val="00EB790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0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6083"/>
  </w:style>
  <w:style w:type="paragraph" w:styleId="Piedepgina">
    <w:name w:val="footer"/>
    <w:basedOn w:val="Normal"/>
    <w:link w:val="PiedepginaCar"/>
    <w:uiPriority w:val="99"/>
    <w:unhideWhenUsed/>
    <w:rsid w:val="00D660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6083"/>
  </w:style>
  <w:style w:type="paragraph" w:styleId="Textodeglobo">
    <w:name w:val="Balloon Text"/>
    <w:basedOn w:val="Normal"/>
    <w:link w:val="TextodegloboCar"/>
    <w:uiPriority w:val="99"/>
    <w:semiHidden/>
    <w:unhideWhenUsed/>
    <w:rsid w:val="00D660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0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6083"/>
  </w:style>
  <w:style w:type="paragraph" w:styleId="Piedepgina">
    <w:name w:val="footer"/>
    <w:basedOn w:val="Normal"/>
    <w:link w:val="PiedepginaCar"/>
    <w:uiPriority w:val="99"/>
    <w:unhideWhenUsed/>
    <w:rsid w:val="00D660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6083"/>
  </w:style>
  <w:style w:type="paragraph" w:styleId="Textodeglobo">
    <w:name w:val="Balloon Text"/>
    <w:basedOn w:val="Normal"/>
    <w:link w:val="TextodegloboCar"/>
    <w:uiPriority w:val="99"/>
    <w:semiHidden/>
    <w:unhideWhenUsed/>
    <w:rsid w:val="00D660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2295">
      <w:bodyDiv w:val="1"/>
      <w:marLeft w:val="0"/>
      <w:marRight w:val="0"/>
      <w:marTop w:val="0"/>
      <w:marBottom w:val="0"/>
      <w:divBdr>
        <w:top w:val="none" w:sz="0" w:space="0" w:color="auto"/>
        <w:left w:val="none" w:sz="0" w:space="0" w:color="auto"/>
        <w:bottom w:val="none" w:sz="0" w:space="0" w:color="auto"/>
        <w:right w:val="none" w:sz="0" w:space="0" w:color="auto"/>
      </w:divBdr>
    </w:div>
    <w:div w:id="1778791685">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1196</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2014-10-24T10:18:00Z</dcterms:created>
  <dcterms:modified xsi:type="dcterms:W3CDTF">2014-10-24T10:18:00Z</dcterms:modified>
</cp:coreProperties>
</file>